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81" w:rsidRPr="00596E24" w:rsidRDefault="00F92681" w:rsidP="003373FC">
      <w:pPr>
        <w:pStyle w:val="NormalWeb"/>
        <w:spacing w:before="240" w:beforeAutospacing="0" w:after="45" w:afterAutospacing="0" w:line="480" w:lineRule="auto"/>
        <w:jc w:val="center"/>
      </w:pPr>
      <w:r w:rsidRPr="00596E24">
        <w:fldChar w:fldCharType="begin"/>
      </w:r>
      <w:r w:rsidRPr="00596E24">
        <w:instrText xml:space="preserve"> HYPERLINK "http://feedproxy.google.com/~r/WMaNetworkToEndHomelessness/~3/3DF9rjkuUTU/?utm_source=feedburner&amp;utm_medium=email" </w:instrText>
      </w:r>
      <w:r w:rsidRPr="00596E24">
        <w:fldChar w:fldCharType="separate"/>
      </w:r>
      <w:r w:rsidR="00EB67AE" w:rsidRPr="00596E24">
        <w:rPr>
          <w:rStyle w:val="Hyperlink"/>
          <w:b/>
          <w:bCs/>
          <w:color w:val="000099"/>
          <w:u w:val="none"/>
        </w:rPr>
        <w:t>GBCATCH</w:t>
      </w:r>
      <w:r w:rsidRPr="00596E24">
        <w:rPr>
          <w:rStyle w:val="Hyperlink"/>
          <w:b/>
          <w:bCs/>
          <w:color w:val="000099"/>
          <w:u w:val="none"/>
        </w:rPr>
        <w:t xml:space="preserve"> </w:t>
      </w:r>
      <w:proofErr w:type="spellStart"/>
      <w:r w:rsidRPr="00596E24">
        <w:rPr>
          <w:rStyle w:val="Hyperlink"/>
          <w:b/>
          <w:bCs/>
          <w:color w:val="000099"/>
          <w:u w:val="none"/>
        </w:rPr>
        <w:t>CoC</w:t>
      </w:r>
      <w:proofErr w:type="spellEnd"/>
      <w:r w:rsidRPr="00596E24">
        <w:rPr>
          <w:rStyle w:val="Hyperlink"/>
          <w:b/>
          <w:bCs/>
          <w:color w:val="000099"/>
          <w:u w:val="none"/>
        </w:rPr>
        <w:t xml:space="preserve"> </w:t>
      </w:r>
      <w:r w:rsidR="00CA700E" w:rsidRPr="00596E24">
        <w:rPr>
          <w:rStyle w:val="Hyperlink"/>
          <w:b/>
          <w:bCs/>
          <w:color w:val="000099"/>
          <w:u w:val="none"/>
        </w:rPr>
        <w:t>Ranking/</w:t>
      </w:r>
      <w:r w:rsidRPr="00596E24">
        <w:rPr>
          <w:rStyle w:val="Hyperlink"/>
          <w:b/>
          <w:bCs/>
          <w:color w:val="000099"/>
          <w:u w:val="none"/>
        </w:rPr>
        <w:t>Funding Decisions</w:t>
      </w:r>
      <w:r w:rsidRPr="00596E24">
        <w:fldChar w:fldCharType="end"/>
      </w:r>
      <w:bookmarkStart w:id="0" w:name="1"/>
      <w:bookmarkEnd w:id="0"/>
    </w:p>
    <w:p w:rsidR="00F92681" w:rsidRPr="00596E24" w:rsidRDefault="007870AC" w:rsidP="00992B46">
      <w:pPr>
        <w:pStyle w:val="NormalWeb"/>
        <w:spacing w:before="135" w:beforeAutospacing="0" w:after="45" w:afterAutospacing="0" w:line="480" w:lineRule="auto"/>
        <w:jc w:val="both"/>
        <w:rPr>
          <w:color w:val="555555"/>
        </w:rPr>
      </w:pPr>
      <w:r>
        <w:rPr>
          <w:color w:val="555555"/>
        </w:rPr>
        <w:t>September 1</w:t>
      </w:r>
      <w:r w:rsidR="00F53039">
        <w:rPr>
          <w:color w:val="555555"/>
        </w:rPr>
        <w:t>3</w:t>
      </w:r>
      <w:r>
        <w:rPr>
          <w:color w:val="555555"/>
        </w:rPr>
        <w:t>, 2017</w:t>
      </w:r>
    </w:p>
    <w:p w:rsidR="00CA700E" w:rsidRPr="00596E24" w:rsidRDefault="00F92681" w:rsidP="00992B46">
      <w:pPr>
        <w:pStyle w:val="NormalWeb"/>
        <w:spacing w:line="480" w:lineRule="auto"/>
        <w:jc w:val="both"/>
        <w:rPr>
          <w:color w:val="000000"/>
        </w:rPr>
      </w:pPr>
      <w:r w:rsidRPr="00596E24">
        <w:rPr>
          <w:color w:val="000000"/>
        </w:rPr>
        <w:t xml:space="preserve">The </w:t>
      </w:r>
      <w:r w:rsidR="00BA2E4B" w:rsidRPr="00596E24">
        <w:rPr>
          <w:color w:val="000000"/>
        </w:rPr>
        <w:t>Greater Bristol County/ Attleboro/Taunton Coalition to End Homelessness (GBCATCH)</w:t>
      </w:r>
      <w:r w:rsidRPr="00596E24">
        <w:rPr>
          <w:color w:val="000000"/>
        </w:rPr>
        <w:t xml:space="preserve"> </w:t>
      </w:r>
      <w:r w:rsidR="00BA2E4B" w:rsidRPr="00596E24">
        <w:rPr>
          <w:color w:val="000000"/>
        </w:rPr>
        <w:t xml:space="preserve">MA-519 </w:t>
      </w:r>
      <w:proofErr w:type="spellStart"/>
      <w:r w:rsidRPr="00596E24">
        <w:rPr>
          <w:color w:val="000000"/>
        </w:rPr>
        <w:t>CoC</w:t>
      </w:r>
      <w:proofErr w:type="spellEnd"/>
      <w:r w:rsidRPr="00596E24">
        <w:rPr>
          <w:color w:val="000000"/>
        </w:rPr>
        <w:t xml:space="preserve"> Application </w:t>
      </w:r>
      <w:r w:rsidR="00715E34" w:rsidRPr="00596E24">
        <w:rPr>
          <w:color w:val="000000"/>
        </w:rPr>
        <w:t xml:space="preserve">Ranking </w:t>
      </w:r>
      <w:r w:rsidRPr="00596E24">
        <w:rPr>
          <w:color w:val="000000"/>
        </w:rPr>
        <w:t>Committee has completed review of renewal projects</w:t>
      </w:r>
      <w:r w:rsidR="00BA2E4B" w:rsidRPr="00596E24">
        <w:rPr>
          <w:color w:val="000000"/>
        </w:rPr>
        <w:t xml:space="preserve"> in response to HUD’s requirement to develop a ranking </w:t>
      </w:r>
      <w:r w:rsidR="00715E34" w:rsidRPr="00596E24">
        <w:rPr>
          <w:color w:val="000000"/>
        </w:rPr>
        <w:t xml:space="preserve">and funding </w:t>
      </w:r>
      <w:r w:rsidR="00BA2E4B" w:rsidRPr="00596E24">
        <w:rPr>
          <w:color w:val="000000"/>
        </w:rPr>
        <w:t xml:space="preserve">for each project to be placed in Tier 1 </w:t>
      </w:r>
      <w:r w:rsidR="00115214" w:rsidRPr="00596E24">
        <w:rPr>
          <w:color w:val="000000"/>
        </w:rPr>
        <w:t xml:space="preserve">or </w:t>
      </w:r>
      <w:r w:rsidR="00BA2E4B" w:rsidRPr="00596E24">
        <w:rPr>
          <w:color w:val="000000"/>
        </w:rPr>
        <w:t>Tier 2.</w:t>
      </w:r>
      <w:r w:rsidRPr="00596E24">
        <w:rPr>
          <w:color w:val="000000"/>
        </w:rPr>
        <w:t xml:space="preserve"> </w:t>
      </w:r>
    </w:p>
    <w:p w:rsidR="00F92681" w:rsidRDefault="00F92681" w:rsidP="003373FC">
      <w:pPr>
        <w:pStyle w:val="NoSpacing"/>
      </w:pPr>
      <w:r w:rsidRPr="00596E24">
        <w:t xml:space="preserve">The </w:t>
      </w:r>
      <w:proofErr w:type="spellStart"/>
      <w:r w:rsidRPr="00596E24">
        <w:t>CoC</w:t>
      </w:r>
      <w:proofErr w:type="spellEnd"/>
      <w:r w:rsidRPr="00596E24">
        <w:t xml:space="preserve"> Application Review Committee met on </w:t>
      </w:r>
      <w:r w:rsidR="007870AC">
        <w:t>September 1</w:t>
      </w:r>
      <w:r w:rsidR="00F53039">
        <w:t>3</w:t>
      </w:r>
      <w:r w:rsidR="007870AC">
        <w:t>, 2017</w:t>
      </w:r>
      <w:r w:rsidRPr="00596E24">
        <w:t xml:space="preserve"> to review </w:t>
      </w:r>
      <w:r w:rsidR="00BA2E4B" w:rsidRPr="00596E24">
        <w:t xml:space="preserve">applicant </w:t>
      </w:r>
      <w:r w:rsidR="00D23948" w:rsidRPr="00596E24">
        <w:t xml:space="preserve">performance, current </w:t>
      </w:r>
      <w:r w:rsidR="00BA2E4B" w:rsidRPr="00596E24">
        <w:t xml:space="preserve">funding, </w:t>
      </w:r>
      <w:r w:rsidR="00D23948" w:rsidRPr="00596E24">
        <w:t xml:space="preserve">HUD recommended </w:t>
      </w:r>
      <w:r w:rsidR="00BA2E4B" w:rsidRPr="00596E24">
        <w:t>rankings</w:t>
      </w:r>
      <w:r w:rsidRPr="00596E24">
        <w:t xml:space="preserve">, and make funding decisions.  The Committee consisted of </w:t>
      </w:r>
      <w:r w:rsidR="00BA2E4B" w:rsidRPr="00596E24">
        <w:t>Kevin McCarthy</w:t>
      </w:r>
      <w:r w:rsidRPr="00596E24">
        <w:t xml:space="preserve"> </w:t>
      </w:r>
      <w:r w:rsidR="00BA2E4B" w:rsidRPr="00596E24">
        <w:t>(Bristol County Savings Bank</w:t>
      </w:r>
      <w:r w:rsidR="003373FC">
        <w:t xml:space="preserve">) and </w:t>
      </w:r>
      <w:r w:rsidR="00BA2E4B" w:rsidRPr="00596E24">
        <w:t>Janet Richardi</w:t>
      </w:r>
      <w:r w:rsidRPr="00596E24">
        <w:t xml:space="preserve"> (</w:t>
      </w:r>
      <w:r w:rsidR="00BA2E4B" w:rsidRPr="00596E24">
        <w:t>South Coast Regional Network to End Homelessness</w:t>
      </w:r>
      <w:r w:rsidR="003373FC">
        <w:t xml:space="preserve">). </w:t>
      </w:r>
      <w:r w:rsidRPr="00596E24">
        <w:t>Thank you to the Committee for their hard work, and thank you to all applicants for working so diligently through the process.</w:t>
      </w:r>
      <w:r w:rsidR="003373FC">
        <w:t xml:space="preserve"> </w:t>
      </w:r>
      <w:r w:rsidRPr="00596E24">
        <w:t xml:space="preserve">The following projects are selected to be included in the </w:t>
      </w:r>
      <w:proofErr w:type="spellStart"/>
      <w:r w:rsidRPr="00596E24">
        <w:t>CoC</w:t>
      </w:r>
      <w:proofErr w:type="spellEnd"/>
      <w:r w:rsidRPr="00596E24">
        <w:t xml:space="preserve"> application</w:t>
      </w:r>
      <w:r w:rsidR="00D941FD" w:rsidRPr="00596E24">
        <w:t xml:space="preserve"> and ranked in the following order</w:t>
      </w:r>
      <w:r w:rsidRPr="00596E24">
        <w:t>:</w:t>
      </w:r>
    </w:p>
    <w:p w:rsidR="003373FC" w:rsidRPr="00596E24" w:rsidRDefault="003373FC" w:rsidP="003373FC">
      <w:pPr>
        <w:pStyle w:val="NoSpacing"/>
      </w:pPr>
    </w:p>
    <w:p w:rsidR="00024B5F" w:rsidRPr="00596E24" w:rsidRDefault="00F92681" w:rsidP="003373FC">
      <w:pPr>
        <w:pStyle w:val="NoSpacing"/>
        <w:rPr>
          <w:rStyle w:val="Strong"/>
          <w:color w:val="000000"/>
        </w:rPr>
      </w:pPr>
      <w:r w:rsidRPr="00596E24">
        <w:rPr>
          <w:rStyle w:val="Strong"/>
          <w:color w:val="000000"/>
        </w:rPr>
        <w:t>Tier 1</w:t>
      </w:r>
    </w:p>
    <w:p w:rsidR="00BA2E4B" w:rsidRPr="00596E24" w:rsidRDefault="00947BCF" w:rsidP="003373FC">
      <w:pPr>
        <w:pStyle w:val="NoSpacing"/>
        <w:numPr>
          <w:ilvl w:val="0"/>
          <w:numId w:val="6"/>
        </w:numPr>
        <w:rPr>
          <w:rStyle w:val="Strong"/>
          <w:color w:val="000000"/>
        </w:rPr>
      </w:pPr>
      <w:r w:rsidRPr="00596E24">
        <w:rPr>
          <w:rStyle w:val="Strong"/>
          <w:b w:val="0"/>
          <w:color w:val="000000"/>
        </w:rPr>
        <w:t>Homes With Heart</w:t>
      </w:r>
      <w:r w:rsidR="00D941FD" w:rsidRPr="00596E24">
        <w:rPr>
          <w:rStyle w:val="Strong"/>
          <w:b w:val="0"/>
          <w:color w:val="000000"/>
        </w:rPr>
        <w:t>-$</w:t>
      </w:r>
      <w:r w:rsidR="00024B5F">
        <w:rPr>
          <w:rStyle w:val="Strong"/>
          <w:b w:val="0"/>
          <w:color w:val="000000"/>
        </w:rPr>
        <w:t>180,264</w:t>
      </w:r>
      <w:r w:rsidR="00115214" w:rsidRPr="00596E24">
        <w:rPr>
          <w:rStyle w:val="Strong"/>
          <w:b w:val="0"/>
          <w:color w:val="000000"/>
        </w:rPr>
        <w:t>.00 PSH-CH (Renewal)</w:t>
      </w:r>
    </w:p>
    <w:p w:rsidR="003373FC" w:rsidRDefault="003373FC" w:rsidP="003373FC">
      <w:pPr>
        <w:pStyle w:val="NoSpacing"/>
        <w:rPr>
          <w:rStyle w:val="Strong"/>
          <w:b w:val="0"/>
          <w:color w:val="000000"/>
        </w:rPr>
      </w:pPr>
    </w:p>
    <w:p w:rsidR="00947BCF" w:rsidRPr="00596E24" w:rsidRDefault="00947BCF" w:rsidP="003373FC">
      <w:pPr>
        <w:pStyle w:val="NoSpacing"/>
        <w:numPr>
          <w:ilvl w:val="0"/>
          <w:numId w:val="6"/>
        </w:numPr>
        <w:rPr>
          <w:rStyle w:val="Strong"/>
          <w:b w:val="0"/>
          <w:color w:val="000000"/>
        </w:rPr>
      </w:pPr>
      <w:r w:rsidRPr="00596E24">
        <w:rPr>
          <w:rStyle w:val="Strong"/>
          <w:b w:val="0"/>
          <w:color w:val="000000"/>
        </w:rPr>
        <w:t>Moving Forward</w:t>
      </w:r>
      <w:r w:rsidR="00D941FD" w:rsidRPr="00596E24">
        <w:rPr>
          <w:rStyle w:val="Strong"/>
          <w:b w:val="0"/>
          <w:color w:val="000000"/>
        </w:rPr>
        <w:t>-$</w:t>
      </w:r>
      <w:r w:rsidR="007870AC">
        <w:rPr>
          <w:rStyle w:val="Strong"/>
          <w:b w:val="0"/>
          <w:color w:val="000000"/>
        </w:rPr>
        <w:t>56,690</w:t>
      </w:r>
      <w:r w:rsidR="00D941FD" w:rsidRPr="00596E24">
        <w:rPr>
          <w:rStyle w:val="Strong"/>
          <w:b w:val="0"/>
          <w:color w:val="000000"/>
        </w:rPr>
        <w:t>.00</w:t>
      </w:r>
      <w:r w:rsidR="00115214" w:rsidRPr="00596E24">
        <w:rPr>
          <w:rStyle w:val="Strong"/>
          <w:b w:val="0"/>
          <w:color w:val="000000"/>
        </w:rPr>
        <w:t xml:space="preserve"> PSH-CH (Renewal)</w:t>
      </w:r>
      <w:r w:rsidR="007870AC" w:rsidRPr="007870AC">
        <w:rPr>
          <w:rStyle w:val="Strong"/>
          <w:b w:val="0"/>
          <w:color w:val="000000"/>
        </w:rPr>
        <w:t xml:space="preserve"> </w:t>
      </w:r>
      <w:r w:rsidR="007870AC">
        <w:rPr>
          <w:rStyle w:val="Strong"/>
          <w:b w:val="0"/>
          <w:color w:val="000000"/>
        </w:rPr>
        <w:t>(reallocation of $5,416 for HMIS)</w:t>
      </w:r>
    </w:p>
    <w:p w:rsidR="003373FC" w:rsidRDefault="003373FC" w:rsidP="003373FC">
      <w:pPr>
        <w:pStyle w:val="NoSpacing"/>
        <w:rPr>
          <w:rStyle w:val="Strong"/>
          <w:b w:val="0"/>
          <w:color w:val="000000"/>
        </w:rPr>
      </w:pPr>
    </w:p>
    <w:p w:rsidR="00CA700E" w:rsidRPr="00596E24" w:rsidRDefault="00CA700E" w:rsidP="003373FC">
      <w:pPr>
        <w:pStyle w:val="NoSpacing"/>
        <w:numPr>
          <w:ilvl w:val="0"/>
          <w:numId w:val="6"/>
        </w:numPr>
        <w:rPr>
          <w:rStyle w:val="Strong"/>
          <w:b w:val="0"/>
          <w:color w:val="000000"/>
        </w:rPr>
      </w:pPr>
      <w:r w:rsidRPr="00596E24">
        <w:rPr>
          <w:rStyle w:val="Strong"/>
          <w:b w:val="0"/>
          <w:color w:val="000000"/>
        </w:rPr>
        <w:t>Welcome Home II-$</w:t>
      </w:r>
      <w:r w:rsidR="00024B5F">
        <w:rPr>
          <w:rStyle w:val="Strong"/>
          <w:b w:val="0"/>
          <w:color w:val="000000"/>
        </w:rPr>
        <w:t>48,498</w:t>
      </w:r>
      <w:r w:rsidRPr="00596E24">
        <w:rPr>
          <w:rStyle w:val="Strong"/>
          <w:b w:val="0"/>
          <w:color w:val="000000"/>
        </w:rPr>
        <w:t xml:space="preserve">.00 </w:t>
      </w:r>
      <w:r w:rsidR="00115214" w:rsidRPr="00596E24">
        <w:rPr>
          <w:rStyle w:val="Strong"/>
          <w:b w:val="0"/>
          <w:color w:val="000000"/>
        </w:rPr>
        <w:t>PSH-CH (Renewal)</w:t>
      </w:r>
    </w:p>
    <w:p w:rsidR="003373FC" w:rsidRDefault="003373FC" w:rsidP="003373FC">
      <w:pPr>
        <w:pStyle w:val="NoSpacing"/>
        <w:rPr>
          <w:rStyle w:val="Strong"/>
          <w:b w:val="0"/>
          <w:color w:val="000000"/>
        </w:rPr>
      </w:pPr>
    </w:p>
    <w:p w:rsidR="00CA700E" w:rsidRPr="00596E24" w:rsidRDefault="00CA700E" w:rsidP="003373FC">
      <w:pPr>
        <w:pStyle w:val="NoSpacing"/>
        <w:numPr>
          <w:ilvl w:val="0"/>
          <w:numId w:val="6"/>
        </w:numPr>
        <w:rPr>
          <w:rStyle w:val="Strong"/>
          <w:b w:val="0"/>
          <w:color w:val="000000"/>
        </w:rPr>
      </w:pPr>
      <w:r w:rsidRPr="00596E24">
        <w:rPr>
          <w:rStyle w:val="Strong"/>
          <w:b w:val="0"/>
          <w:color w:val="000000"/>
        </w:rPr>
        <w:t>Beacon of Hope-$</w:t>
      </w:r>
      <w:r w:rsidR="00024B5F">
        <w:rPr>
          <w:rStyle w:val="Strong"/>
          <w:b w:val="0"/>
          <w:color w:val="000000"/>
        </w:rPr>
        <w:t>67,082</w:t>
      </w:r>
      <w:r w:rsidRPr="00596E24">
        <w:rPr>
          <w:rStyle w:val="Strong"/>
          <w:b w:val="0"/>
          <w:color w:val="000000"/>
        </w:rPr>
        <w:t>.00</w:t>
      </w:r>
      <w:r w:rsidR="00115214" w:rsidRPr="00596E24">
        <w:rPr>
          <w:rStyle w:val="Strong"/>
          <w:b w:val="0"/>
          <w:color w:val="000000"/>
        </w:rPr>
        <w:t xml:space="preserve"> PSH (Renewal)</w:t>
      </w:r>
    </w:p>
    <w:p w:rsidR="003373FC" w:rsidRDefault="003373FC" w:rsidP="003373FC">
      <w:pPr>
        <w:pStyle w:val="NoSpacing"/>
        <w:rPr>
          <w:rStyle w:val="Strong"/>
          <w:b w:val="0"/>
          <w:color w:val="000000"/>
        </w:rPr>
      </w:pPr>
    </w:p>
    <w:p w:rsidR="00947BCF" w:rsidRPr="00596E24" w:rsidRDefault="00947BCF" w:rsidP="003373FC">
      <w:pPr>
        <w:pStyle w:val="NoSpacing"/>
        <w:numPr>
          <w:ilvl w:val="0"/>
          <w:numId w:val="6"/>
        </w:numPr>
        <w:rPr>
          <w:rStyle w:val="Strong"/>
          <w:b w:val="0"/>
          <w:color w:val="000000"/>
        </w:rPr>
      </w:pPr>
      <w:r w:rsidRPr="00596E24">
        <w:rPr>
          <w:rStyle w:val="Strong"/>
          <w:b w:val="0"/>
          <w:color w:val="000000"/>
        </w:rPr>
        <w:t>Path to Independence</w:t>
      </w:r>
      <w:r w:rsidR="00D941FD" w:rsidRPr="00596E24">
        <w:rPr>
          <w:rStyle w:val="Strong"/>
          <w:b w:val="0"/>
          <w:color w:val="000000"/>
        </w:rPr>
        <w:t>-$</w:t>
      </w:r>
      <w:r w:rsidR="00024B5F">
        <w:rPr>
          <w:rStyle w:val="Strong"/>
          <w:b w:val="0"/>
          <w:color w:val="000000"/>
        </w:rPr>
        <w:t>87,362</w:t>
      </w:r>
      <w:r w:rsidR="00D941FD" w:rsidRPr="00596E24">
        <w:rPr>
          <w:rStyle w:val="Strong"/>
          <w:b w:val="0"/>
          <w:color w:val="000000"/>
        </w:rPr>
        <w:t>.00</w:t>
      </w:r>
      <w:r w:rsidR="00115214" w:rsidRPr="00596E24">
        <w:rPr>
          <w:rStyle w:val="Strong"/>
          <w:b w:val="0"/>
          <w:color w:val="000000"/>
        </w:rPr>
        <w:t xml:space="preserve"> PSH (Renewal)</w:t>
      </w:r>
    </w:p>
    <w:p w:rsidR="003373FC" w:rsidRDefault="003373FC" w:rsidP="003373FC">
      <w:pPr>
        <w:pStyle w:val="NoSpacing"/>
        <w:rPr>
          <w:rStyle w:val="Strong"/>
          <w:b w:val="0"/>
          <w:color w:val="000000"/>
        </w:rPr>
      </w:pPr>
    </w:p>
    <w:p w:rsidR="00024B5F" w:rsidRDefault="00947BCF" w:rsidP="003373FC">
      <w:pPr>
        <w:pStyle w:val="NoSpacing"/>
        <w:numPr>
          <w:ilvl w:val="0"/>
          <w:numId w:val="6"/>
        </w:numPr>
        <w:rPr>
          <w:rStyle w:val="Strong"/>
          <w:b w:val="0"/>
          <w:color w:val="000000"/>
        </w:rPr>
      </w:pPr>
      <w:r w:rsidRPr="00596E24">
        <w:rPr>
          <w:rStyle w:val="Strong"/>
          <w:b w:val="0"/>
          <w:color w:val="000000"/>
        </w:rPr>
        <w:t>Keystone</w:t>
      </w:r>
      <w:r w:rsidR="00D941FD" w:rsidRPr="00596E24">
        <w:rPr>
          <w:rStyle w:val="Strong"/>
          <w:b w:val="0"/>
          <w:color w:val="000000"/>
        </w:rPr>
        <w:t>-$</w:t>
      </w:r>
      <w:r w:rsidR="00024B5F">
        <w:rPr>
          <w:rStyle w:val="Strong"/>
          <w:b w:val="0"/>
          <w:color w:val="000000"/>
        </w:rPr>
        <w:t>25,304</w:t>
      </w:r>
      <w:r w:rsidR="00CA700E" w:rsidRPr="00596E24">
        <w:rPr>
          <w:rStyle w:val="Strong"/>
          <w:b w:val="0"/>
          <w:color w:val="000000"/>
        </w:rPr>
        <w:t>.00</w:t>
      </w:r>
      <w:r w:rsidR="00115214" w:rsidRPr="00596E24">
        <w:rPr>
          <w:rStyle w:val="Strong"/>
          <w:b w:val="0"/>
          <w:color w:val="000000"/>
        </w:rPr>
        <w:t xml:space="preserve"> PSH (Renewal)</w:t>
      </w:r>
      <w:r w:rsidR="00024B5F" w:rsidRPr="00024B5F">
        <w:rPr>
          <w:rStyle w:val="Strong"/>
          <w:b w:val="0"/>
          <w:color w:val="000000"/>
        </w:rPr>
        <w:t xml:space="preserve"> </w:t>
      </w:r>
    </w:p>
    <w:p w:rsidR="003373FC" w:rsidRDefault="003373FC" w:rsidP="003373FC">
      <w:pPr>
        <w:pStyle w:val="NoSpacing"/>
        <w:rPr>
          <w:rStyle w:val="Strong"/>
          <w:b w:val="0"/>
          <w:color w:val="000000"/>
        </w:rPr>
      </w:pPr>
    </w:p>
    <w:p w:rsidR="007870AC" w:rsidRPr="007870AC" w:rsidRDefault="007870AC" w:rsidP="003373FC">
      <w:pPr>
        <w:pStyle w:val="NoSpacing"/>
        <w:numPr>
          <w:ilvl w:val="0"/>
          <w:numId w:val="6"/>
        </w:numPr>
        <w:rPr>
          <w:rStyle w:val="Strong"/>
          <w:color w:val="000000"/>
        </w:rPr>
      </w:pPr>
      <w:r w:rsidRPr="007870AC">
        <w:rPr>
          <w:rStyle w:val="Strong"/>
          <w:b w:val="0"/>
          <w:color w:val="000000"/>
        </w:rPr>
        <w:t>The CALL Taunton/Attleboro and Bristol County</w:t>
      </w:r>
      <w:r w:rsidRPr="00596E24">
        <w:rPr>
          <w:rStyle w:val="Strong"/>
          <w:b w:val="0"/>
          <w:color w:val="000000"/>
        </w:rPr>
        <w:t>$</w:t>
      </w:r>
      <w:r>
        <w:rPr>
          <w:rStyle w:val="Strong"/>
          <w:b w:val="0"/>
          <w:color w:val="000000"/>
        </w:rPr>
        <w:t>27,357</w:t>
      </w:r>
      <w:r w:rsidRPr="007870AC">
        <w:rPr>
          <w:rStyle w:val="Strong"/>
          <w:b w:val="0"/>
          <w:color w:val="000000"/>
        </w:rPr>
        <w:t xml:space="preserve"> </w:t>
      </w:r>
      <w:r w:rsidRPr="007870AC">
        <w:rPr>
          <w:rFonts w:eastAsia="Times New Roman"/>
        </w:rPr>
        <w:t>(</w:t>
      </w:r>
      <w:r w:rsidRPr="007870AC">
        <w:rPr>
          <w:rStyle w:val="Strong"/>
          <w:b w:val="0"/>
          <w:color w:val="000000"/>
        </w:rPr>
        <w:t>Renewal</w:t>
      </w:r>
      <w:r w:rsidRPr="007870AC">
        <w:rPr>
          <w:rFonts w:eastAsia="Times New Roman"/>
        </w:rPr>
        <w:t>)</w:t>
      </w:r>
      <w:r w:rsidRPr="007870AC">
        <w:rPr>
          <w:rStyle w:val="Strong"/>
          <w:b w:val="0"/>
          <w:color w:val="000000"/>
        </w:rPr>
        <w:t xml:space="preserve"> </w:t>
      </w:r>
    </w:p>
    <w:p w:rsidR="003373FC" w:rsidRDefault="003373FC" w:rsidP="003373FC">
      <w:pPr>
        <w:pStyle w:val="NoSpacing"/>
        <w:rPr>
          <w:rStyle w:val="Strong"/>
          <w:color w:val="000000"/>
        </w:rPr>
      </w:pPr>
    </w:p>
    <w:p w:rsidR="007870AC" w:rsidRDefault="00115214" w:rsidP="003373FC">
      <w:pPr>
        <w:pStyle w:val="NoSpacing"/>
        <w:rPr>
          <w:rStyle w:val="Strong"/>
          <w:b w:val="0"/>
          <w:bCs w:val="0"/>
          <w:color w:val="000000"/>
        </w:rPr>
      </w:pPr>
      <w:r w:rsidRPr="00596E24">
        <w:rPr>
          <w:rStyle w:val="Strong"/>
          <w:color w:val="000000"/>
        </w:rPr>
        <w:t>Tier</w:t>
      </w:r>
      <w:r w:rsidR="007870AC">
        <w:rPr>
          <w:rStyle w:val="Strong"/>
          <w:color w:val="000000"/>
        </w:rPr>
        <w:t xml:space="preserve"> 1/</w:t>
      </w:r>
      <w:r w:rsidRPr="00596E24">
        <w:rPr>
          <w:rStyle w:val="Strong"/>
          <w:color w:val="000000"/>
        </w:rPr>
        <w:t xml:space="preserve"> 2</w:t>
      </w:r>
    </w:p>
    <w:p w:rsidR="007870AC" w:rsidRDefault="007870AC" w:rsidP="003373FC">
      <w:pPr>
        <w:pStyle w:val="NoSpacing"/>
        <w:numPr>
          <w:ilvl w:val="0"/>
          <w:numId w:val="6"/>
        </w:numPr>
        <w:rPr>
          <w:rStyle w:val="Strong"/>
          <w:b w:val="0"/>
          <w:color w:val="000000"/>
        </w:rPr>
      </w:pPr>
      <w:r w:rsidRPr="00596E24">
        <w:rPr>
          <w:rStyle w:val="Strong"/>
          <w:b w:val="0"/>
          <w:color w:val="000000"/>
        </w:rPr>
        <w:t>New Horizons-$</w:t>
      </w:r>
      <w:r>
        <w:rPr>
          <w:rStyle w:val="Strong"/>
          <w:b w:val="0"/>
          <w:color w:val="000000"/>
        </w:rPr>
        <w:t>262,266.00</w:t>
      </w:r>
      <w:r w:rsidRPr="00596E24">
        <w:rPr>
          <w:rStyle w:val="Strong"/>
          <w:b w:val="0"/>
          <w:color w:val="000000"/>
        </w:rPr>
        <w:t xml:space="preserve"> PSH (Renewal)</w:t>
      </w:r>
      <w:r>
        <w:rPr>
          <w:rStyle w:val="Strong"/>
          <w:b w:val="0"/>
          <w:color w:val="000000"/>
        </w:rPr>
        <w:t xml:space="preserve"> (reallocation of $14,857 for HMIS)</w:t>
      </w:r>
    </w:p>
    <w:p w:rsidR="003373FC" w:rsidRDefault="003373FC" w:rsidP="003373FC">
      <w:pPr>
        <w:pStyle w:val="NoSpacing"/>
        <w:rPr>
          <w:rStyle w:val="Strong"/>
          <w:color w:val="000000"/>
        </w:rPr>
      </w:pPr>
    </w:p>
    <w:p w:rsidR="007870AC" w:rsidRPr="007870AC" w:rsidRDefault="007870AC" w:rsidP="003373FC">
      <w:pPr>
        <w:pStyle w:val="NoSpacing"/>
        <w:rPr>
          <w:rStyle w:val="Strong"/>
          <w:color w:val="000000"/>
        </w:rPr>
      </w:pPr>
      <w:r w:rsidRPr="007870AC">
        <w:rPr>
          <w:rStyle w:val="Strong"/>
          <w:color w:val="000000"/>
        </w:rPr>
        <w:t>Tier 2</w:t>
      </w:r>
    </w:p>
    <w:p w:rsidR="003373FC" w:rsidRDefault="005576AE" w:rsidP="003373FC">
      <w:pPr>
        <w:pStyle w:val="NoSpacing"/>
        <w:numPr>
          <w:ilvl w:val="0"/>
          <w:numId w:val="6"/>
        </w:numPr>
        <w:rPr>
          <w:rStyle w:val="Strong"/>
          <w:color w:val="000000"/>
        </w:rPr>
      </w:pPr>
      <w:r>
        <w:rPr>
          <w:rStyle w:val="Strong"/>
          <w:b w:val="0"/>
          <w:color w:val="000000"/>
        </w:rPr>
        <w:t>HMIS- (NEW) -$</w:t>
      </w:r>
      <w:r w:rsidR="007870AC">
        <w:rPr>
          <w:rStyle w:val="Strong"/>
          <w:b w:val="0"/>
          <w:color w:val="000000"/>
        </w:rPr>
        <w:t>20,273.00</w:t>
      </w:r>
    </w:p>
    <w:p w:rsidR="003373FC" w:rsidRDefault="003373FC" w:rsidP="003373FC">
      <w:pPr>
        <w:pStyle w:val="NoSpacing"/>
        <w:rPr>
          <w:rStyle w:val="Strong"/>
          <w:color w:val="000000"/>
        </w:rPr>
      </w:pPr>
    </w:p>
    <w:p w:rsidR="007870AC" w:rsidRPr="003373FC" w:rsidRDefault="007870AC" w:rsidP="003373FC">
      <w:pPr>
        <w:pStyle w:val="NoSpacing"/>
        <w:rPr>
          <w:rStyle w:val="Strong"/>
          <w:color w:val="000000"/>
        </w:rPr>
      </w:pPr>
      <w:r w:rsidRPr="003373FC">
        <w:rPr>
          <w:rStyle w:val="Strong"/>
          <w:color w:val="000000"/>
        </w:rPr>
        <w:t>No Tier</w:t>
      </w:r>
    </w:p>
    <w:p w:rsidR="00F92681" w:rsidRPr="00596E24" w:rsidRDefault="007870AC" w:rsidP="003373FC">
      <w:pPr>
        <w:pStyle w:val="NoSpacing"/>
        <w:numPr>
          <w:ilvl w:val="0"/>
          <w:numId w:val="6"/>
        </w:numPr>
        <w:rPr>
          <w:rFonts w:eastAsia="Times New Roman"/>
        </w:rPr>
      </w:pPr>
      <w:r>
        <w:rPr>
          <w:rFonts w:eastAsia="Times New Roman"/>
        </w:rPr>
        <w:t>Planning grant</w:t>
      </w:r>
      <w:r w:rsidR="00F92681" w:rsidRPr="00596E24">
        <w:rPr>
          <w:rFonts w:eastAsia="Times New Roman"/>
        </w:rPr>
        <w:t>, $</w:t>
      </w:r>
      <w:r>
        <w:rPr>
          <w:rFonts w:eastAsia="Times New Roman"/>
        </w:rPr>
        <w:t>24,306.00</w:t>
      </w:r>
      <w:bookmarkStart w:id="1" w:name="_GoBack"/>
      <w:bookmarkEnd w:id="1"/>
    </w:p>
    <w:p w:rsidR="003373FC" w:rsidRDefault="003373FC" w:rsidP="00992B46">
      <w:pPr>
        <w:pStyle w:val="NormalWeb"/>
        <w:spacing w:line="480" w:lineRule="auto"/>
        <w:jc w:val="both"/>
        <w:rPr>
          <w:rStyle w:val="Strong"/>
          <w:color w:val="000000"/>
        </w:rPr>
      </w:pPr>
    </w:p>
    <w:p w:rsidR="00F92681" w:rsidRPr="00596E24" w:rsidRDefault="00F92681" w:rsidP="00992B46">
      <w:pPr>
        <w:pStyle w:val="NormalWeb"/>
        <w:spacing w:line="480" w:lineRule="auto"/>
        <w:jc w:val="both"/>
        <w:rPr>
          <w:color w:val="000000"/>
        </w:rPr>
      </w:pPr>
      <w:r w:rsidRPr="00596E24">
        <w:rPr>
          <w:rStyle w:val="Strong"/>
          <w:color w:val="000000"/>
        </w:rPr>
        <w:t>Selection Process</w:t>
      </w:r>
    </w:p>
    <w:p w:rsidR="00F53039" w:rsidRPr="003373FC" w:rsidRDefault="00F92681" w:rsidP="003373FC">
      <w:pPr>
        <w:pStyle w:val="NormalWeb"/>
        <w:spacing w:line="480" w:lineRule="auto"/>
        <w:jc w:val="both"/>
        <w:rPr>
          <w:color w:val="000000"/>
        </w:rPr>
      </w:pPr>
      <w:r w:rsidRPr="00596E24">
        <w:rPr>
          <w:color w:val="000000"/>
        </w:rPr>
        <w:t>The Committee followed a multi-step pr</w:t>
      </w:r>
      <w:r w:rsidR="003373FC">
        <w:rPr>
          <w:color w:val="000000"/>
        </w:rPr>
        <w:t xml:space="preserve">ocess to make funding decisions. </w:t>
      </w:r>
      <w:r w:rsidR="00D41BE7" w:rsidRPr="00596E24">
        <w:rPr>
          <w:color w:val="000000"/>
        </w:rPr>
        <w:t xml:space="preserve">Information was sent to all agencies and members of the GBCATCH regarding the NOFA and discussed in person at our bi-monthly meetings. Below is the information and schedule </w:t>
      </w:r>
      <w:r w:rsidR="001620E7">
        <w:rPr>
          <w:color w:val="000000"/>
        </w:rPr>
        <w:t xml:space="preserve">that was sent to the </w:t>
      </w:r>
      <w:proofErr w:type="spellStart"/>
      <w:r w:rsidR="001620E7">
        <w:rPr>
          <w:color w:val="000000"/>
        </w:rPr>
        <w:t>CoC</w:t>
      </w:r>
      <w:proofErr w:type="spellEnd"/>
      <w:r w:rsidR="00D41BE7" w:rsidRPr="00596E24">
        <w:rPr>
          <w:color w:val="000000"/>
        </w:rPr>
        <w:t>:</w:t>
      </w:r>
    </w:p>
    <w:p w:rsidR="00D41BE7" w:rsidRPr="00992B46" w:rsidRDefault="00D41BE7" w:rsidP="00992B46">
      <w:pPr>
        <w:spacing w:line="480" w:lineRule="auto"/>
        <w:rPr>
          <w:b/>
          <w:bCs/>
          <w:i/>
        </w:rPr>
      </w:pPr>
      <w:r w:rsidRPr="00992B46">
        <w:rPr>
          <w:b/>
          <w:bCs/>
          <w:i/>
        </w:rPr>
        <w:t>Greater Bristol County/Attleboro/Taunton Coalition to End Homelessness (GBCATCH)</w:t>
      </w:r>
    </w:p>
    <w:p w:rsidR="005159F4" w:rsidRPr="00C4476F" w:rsidRDefault="005159F4" w:rsidP="005159F4">
      <w:pPr>
        <w:spacing w:line="480" w:lineRule="auto"/>
        <w:rPr>
          <w:i/>
          <w:color w:val="1F497D"/>
        </w:rPr>
      </w:pPr>
      <w:r w:rsidRPr="00992B46">
        <w:rPr>
          <w:i/>
        </w:rPr>
        <w:t xml:space="preserve">Below is the timeline for the </w:t>
      </w:r>
      <w:r>
        <w:rPr>
          <w:i/>
        </w:rPr>
        <w:t xml:space="preserve">2017 </w:t>
      </w:r>
      <w:proofErr w:type="spellStart"/>
      <w:r w:rsidRPr="00992B46">
        <w:rPr>
          <w:i/>
        </w:rPr>
        <w:t>CoC</w:t>
      </w:r>
      <w:proofErr w:type="spellEnd"/>
      <w:r w:rsidRPr="00992B46">
        <w:rPr>
          <w:i/>
        </w:rPr>
        <w:t xml:space="preserve"> Competition that we must adhere to. I have attached relevant material about this year’s competition and we have a great deal of work to do to meet the deadlines and submit a high scoring proposal. </w:t>
      </w:r>
    </w:p>
    <w:p w:rsidR="005159F4" w:rsidRDefault="005159F4" w:rsidP="005159F4">
      <w:pPr>
        <w:numPr>
          <w:ilvl w:val="0"/>
          <w:numId w:val="4"/>
        </w:numPr>
        <w:spacing w:line="480" w:lineRule="auto"/>
        <w:rPr>
          <w:i/>
        </w:rPr>
      </w:pPr>
      <w:r>
        <w:rPr>
          <w:i/>
        </w:rPr>
        <w:t>July 14</w:t>
      </w:r>
      <w:r w:rsidRPr="00CC57C7">
        <w:rPr>
          <w:i/>
          <w:vertAlign w:val="superscript"/>
        </w:rPr>
        <w:t>th</w:t>
      </w:r>
      <w:r>
        <w:rPr>
          <w:i/>
        </w:rPr>
        <w:t>, 2017-NOFA is released</w:t>
      </w:r>
    </w:p>
    <w:p w:rsidR="005159F4" w:rsidRDefault="005159F4" w:rsidP="005159F4">
      <w:pPr>
        <w:numPr>
          <w:ilvl w:val="0"/>
          <w:numId w:val="4"/>
        </w:numPr>
        <w:spacing w:line="480" w:lineRule="auto"/>
        <w:rPr>
          <w:i/>
        </w:rPr>
      </w:pPr>
      <w:r>
        <w:rPr>
          <w:i/>
        </w:rPr>
        <w:t>August 15, 2017-GBCATCH RFP is released, letters of Intent due by August 28</w:t>
      </w:r>
      <w:r w:rsidRPr="005159F4">
        <w:rPr>
          <w:i/>
          <w:vertAlign w:val="superscript"/>
        </w:rPr>
        <w:t>th</w:t>
      </w:r>
      <w:r>
        <w:rPr>
          <w:i/>
        </w:rPr>
        <w:t>, 2017</w:t>
      </w:r>
    </w:p>
    <w:p w:rsidR="005159F4" w:rsidRDefault="005159F4" w:rsidP="005159F4">
      <w:pPr>
        <w:numPr>
          <w:ilvl w:val="0"/>
          <w:numId w:val="4"/>
        </w:numPr>
        <w:spacing w:line="480" w:lineRule="auto"/>
        <w:rPr>
          <w:i/>
        </w:rPr>
      </w:pPr>
      <w:r>
        <w:rPr>
          <w:i/>
        </w:rPr>
        <w:t>August 15th</w:t>
      </w:r>
      <w:r w:rsidRPr="00992B46">
        <w:rPr>
          <w:i/>
        </w:rPr>
        <w:t xml:space="preserve">-GBCATCH meeting to review NOFA-discuss priorities and the potential to reallocate projects, current providers need to send in most recent APR’s if available to Collaborative Applicant </w:t>
      </w:r>
      <w:r w:rsidR="003373FC">
        <w:rPr>
          <w:i/>
        </w:rPr>
        <w:t>(CA)</w:t>
      </w:r>
    </w:p>
    <w:p w:rsidR="005159F4" w:rsidRPr="00992B46" w:rsidRDefault="005159F4" w:rsidP="005159F4">
      <w:pPr>
        <w:numPr>
          <w:ilvl w:val="0"/>
          <w:numId w:val="4"/>
        </w:numPr>
        <w:spacing w:line="480" w:lineRule="auto"/>
        <w:rPr>
          <w:i/>
        </w:rPr>
      </w:pPr>
      <w:r w:rsidRPr="00992B46">
        <w:rPr>
          <w:i/>
        </w:rPr>
        <w:t xml:space="preserve">August </w:t>
      </w:r>
      <w:r>
        <w:rPr>
          <w:i/>
        </w:rPr>
        <w:t>15</w:t>
      </w:r>
      <w:r w:rsidRPr="00CC57C7">
        <w:rPr>
          <w:i/>
          <w:vertAlign w:val="superscript"/>
        </w:rPr>
        <w:t>th</w:t>
      </w:r>
      <w:r>
        <w:rPr>
          <w:i/>
        </w:rPr>
        <w:t>-August 28th</w:t>
      </w:r>
      <w:r w:rsidRPr="00992B46">
        <w:rPr>
          <w:i/>
          <w:vertAlign w:val="superscript"/>
        </w:rPr>
        <w:t xml:space="preserve"> -</w:t>
      </w:r>
      <w:r w:rsidRPr="00992B46">
        <w:rPr>
          <w:i/>
        </w:rPr>
        <w:t xml:space="preserve">Work on applications and request help from  </w:t>
      </w:r>
      <w:r w:rsidR="003373FC">
        <w:rPr>
          <w:i/>
        </w:rPr>
        <w:t xml:space="preserve">CA </w:t>
      </w:r>
      <w:r w:rsidRPr="00992B46">
        <w:rPr>
          <w:i/>
        </w:rPr>
        <w:t xml:space="preserve">if needed; </w:t>
      </w:r>
    </w:p>
    <w:p w:rsidR="005159F4" w:rsidRPr="00992B46" w:rsidRDefault="005159F4" w:rsidP="005159F4">
      <w:pPr>
        <w:numPr>
          <w:ilvl w:val="0"/>
          <w:numId w:val="4"/>
        </w:numPr>
        <w:spacing w:line="480" w:lineRule="auto"/>
        <w:rPr>
          <w:i/>
        </w:rPr>
      </w:pPr>
      <w:r>
        <w:rPr>
          <w:bCs/>
          <w:i/>
        </w:rPr>
        <w:t>August 28th</w:t>
      </w:r>
      <w:r w:rsidRPr="00992B46">
        <w:rPr>
          <w:bCs/>
          <w:i/>
        </w:rPr>
        <w:t>-</w:t>
      </w:r>
      <w:r w:rsidRPr="00992B46">
        <w:rPr>
          <w:i/>
        </w:rPr>
        <w:t> Last possible day for project applications to be submitted to Collaborative Applicant for review and opportunity to make corrections (HUD requires that the application be submitted 30 days pri</w:t>
      </w:r>
      <w:r>
        <w:rPr>
          <w:i/>
        </w:rPr>
        <w:t xml:space="preserve">or to the full grant on </w:t>
      </w:r>
      <w:proofErr w:type="spellStart"/>
      <w:r>
        <w:rPr>
          <w:i/>
        </w:rPr>
        <w:t>Esnaps</w:t>
      </w:r>
      <w:proofErr w:type="spellEnd"/>
      <w:r w:rsidRPr="00992B46">
        <w:rPr>
          <w:i/>
        </w:rPr>
        <w:t>).</w:t>
      </w:r>
    </w:p>
    <w:p w:rsidR="005159F4" w:rsidRDefault="005159F4" w:rsidP="005159F4">
      <w:pPr>
        <w:numPr>
          <w:ilvl w:val="0"/>
          <w:numId w:val="4"/>
        </w:numPr>
        <w:spacing w:line="480" w:lineRule="auto"/>
        <w:rPr>
          <w:i/>
        </w:rPr>
      </w:pPr>
      <w:r>
        <w:rPr>
          <w:i/>
        </w:rPr>
        <w:t xml:space="preserve">Submit Applications to </w:t>
      </w:r>
      <w:proofErr w:type="spellStart"/>
      <w:r>
        <w:rPr>
          <w:i/>
        </w:rPr>
        <w:t>Esnaps</w:t>
      </w:r>
      <w:proofErr w:type="spellEnd"/>
      <w:r>
        <w:rPr>
          <w:i/>
        </w:rPr>
        <w:t xml:space="preserve"> by August 28</w:t>
      </w:r>
      <w:r w:rsidRPr="00CC57C7">
        <w:rPr>
          <w:i/>
          <w:vertAlign w:val="superscript"/>
        </w:rPr>
        <w:t>th</w:t>
      </w:r>
      <w:r>
        <w:rPr>
          <w:i/>
        </w:rPr>
        <w:t xml:space="preserve"> at 5 pm. </w:t>
      </w:r>
    </w:p>
    <w:p w:rsidR="003373FC" w:rsidRPr="003373FC" w:rsidRDefault="003373FC" w:rsidP="003373FC">
      <w:pPr>
        <w:numPr>
          <w:ilvl w:val="0"/>
          <w:numId w:val="4"/>
        </w:numPr>
        <w:spacing w:line="480" w:lineRule="auto"/>
        <w:rPr>
          <w:i/>
        </w:rPr>
      </w:pPr>
      <w:r>
        <w:rPr>
          <w:i/>
        </w:rPr>
        <w:t>August 28</w:t>
      </w:r>
      <w:r w:rsidRPr="00CC57C7">
        <w:rPr>
          <w:i/>
          <w:vertAlign w:val="superscript"/>
        </w:rPr>
        <w:t>th</w:t>
      </w:r>
      <w:r>
        <w:rPr>
          <w:i/>
        </w:rPr>
        <w:t>-September 8th</w:t>
      </w:r>
      <w:r w:rsidRPr="00992B46">
        <w:rPr>
          <w:i/>
        </w:rPr>
        <w:t>-make any corrections to project applications</w:t>
      </w:r>
      <w:r>
        <w:rPr>
          <w:i/>
        </w:rPr>
        <w:t>.</w:t>
      </w:r>
    </w:p>
    <w:p w:rsidR="005159F4" w:rsidRDefault="005159F4" w:rsidP="005159F4">
      <w:pPr>
        <w:numPr>
          <w:ilvl w:val="0"/>
          <w:numId w:val="4"/>
        </w:numPr>
        <w:spacing w:line="480" w:lineRule="auto"/>
        <w:rPr>
          <w:i/>
        </w:rPr>
      </w:pPr>
      <w:r w:rsidRPr="00992B46">
        <w:rPr>
          <w:i/>
        </w:rPr>
        <w:lastRenderedPageBreak/>
        <w:t xml:space="preserve">Date TBD-Performance and Outcomes and </w:t>
      </w:r>
      <w:r>
        <w:rPr>
          <w:i/>
        </w:rPr>
        <w:t>Application/</w:t>
      </w:r>
      <w:r w:rsidRPr="00992B46">
        <w:rPr>
          <w:i/>
        </w:rPr>
        <w:t>Project Ranking Committees to meet to review projects to develop Tier 1 and 2 Ranking based on perform</w:t>
      </w:r>
      <w:r>
        <w:rPr>
          <w:i/>
        </w:rPr>
        <w:t>ance and HUD guidance</w:t>
      </w:r>
      <w:r w:rsidR="003373FC">
        <w:rPr>
          <w:i/>
        </w:rPr>
        <w:t>.</w:t>
      </w:r>
    </w:p>
    <w:p w:rsidR="005159F4" w:rsidRDefault="005159F4" w:rsidP="005159F4">
      <w:pPr>
        <w:numPr>
          <w:ilvl w:val="0"/>
          <w:numId w:val="4"/>
        </w:numPr>
        <w:spacing w:line="480" w:lineRule="auto"/>
        <w:rPr>
          <w:i/>
        </w:rPr>
      </w:pPr>
      <w:r>
        <w:rPr>
          <w:i/>
        </w:rPr>
        <w:t>All agencies who submit applications will be notified if their projects have been accepted no later than 15 days prior to the application submission to HUD</w:t>
      </w:r>
      <w:r w:rsidR="00F53039">
        <w:rPr>
          <w:i/>
        </w:rPr>
        <w:t xml:space="preserve"> (September 13</w:t>
      </w:r>
      <w:r w:rsidR="00F53039" w:rsidRPr="00F53039">
        <w:rPr>
          <w:i/>
          <w:vertAlign w:val="superscript"/>
        </w:rPr>
        <w:t>th</w:t>
      </w:r>
      <w:r w:rsidR="00F53039">
        <w:rPr>
          <w:i/>
        </w:rPr>
        <w:t>)</w:t>
      </w:r>
      <w:r>
        <w:rPr>
          <w:i/>
        </w:rPr>
        <w:t>.</w:t>
      </w:r>
    </w:p>
    <w:p w:rsidR="005159F4" w:rsidRPr="00C1778A" w:rsidRDefault="005159F4" w:rsidP="005159F4">
      <w:pPr>
        <w:numPr>
          <w:ilvl w:val="0"/>
          <w:numId w:val="4"/>
        </w:numPr>
        <w:spacing w:line="480" w:lineRule="auto"/>
        <w:rPr>
          <w:i/>
        </w:rPr>
      </w:pPr>
      <w:r>
        <w:rPr>
          <w:i/>
        </w:rPr>
        <w:t>September 19</w:t>
      </w:r>
      <w:r w:rsidRPr="00C1778A">
        <w:rPr>
          <w:i/>
        </w:rPr>
        <w:t xml:space="preserve">th -  Project Ranking process presented at GBCATCH meeting </w:t>
      </w:r>
    </w:p>
    <w:p w:rsidR="005159F4" w:rsidRPr="00C1778A" w:rsidRDefault="005159F4" w:rsidP="005159F4">
      <w:pPr>
        <w:numPr>
          <w:ilvl w:val="0"/>
          <w:numId w:val="4"/>
        </w:numPr>
        <w:spacing w:line="480" w:lineRule="auto"/>
        <w:rPr>
          <w:i/>
        </w:rPr>
      </w:pPr>
      <w:r w:rsidRPr="00C1778A">
        <w:rPr>
          <w:i/>
        </w:rPr>
        <w:t xml:space="preserve">September </w:t>
      </w:r>
      <w:r>
        <w:rPr>
          <w:i/>
        </w:rPr>
        <w:t>28</w:t>
      </w:r>
      <w:r w:rsidRPr="00C1778A">
        <w:rPr>
          <w:i/>
        </w:rPr>
        <w:t>th-   Full Application submitted to HUD</w:t>
      </w:r>
    </w:p>
    <w:p w:rsidR="005159F4" w:rsidRPr="00C37DE0" w:rsidRDefault="005159F4" w:rsidP="005159F4">
      <w:pPr>
        <w:rPr>
          <w:b/>
          <w:bCs/>
        </w:rPr>
      </w:pPr>
    </w:p>
    <w:p w:rsidR="001620E7" w:rsidRPr="00992B46" w:rsidRDefault="001620E7" w:rsidP="00992B46">
      <w:pPr>
        <w:spacing w:line="480" w:lineRule="auto"/>
        <w:rPr>
          <w:i/>
        </w:rPr>
      </w:pPr>
      <w:r w:rsidRPr="00992B46">
        <w:rPr>
          <w:i/>
        </w:rPr>
        <w:t xml:space="preserve">If you are submitting a project applications and thinking of making any adjustments/reallocation to your projects based on HUD’s priorities of serving those with a history of chronic homelessness in permanent supported housing or serving families using a rapid rehousing model (RRH) </w:t>
      </w:r>
      <w:r w:rsidR="004147E7">
        <w:rPr>
          <w:i/>
        </w:rPr>
        <w:t xml:space="preserve">or the TH-RRH, or Dedicated Plus </w:t>
      </w:r>
      <w:r w:rsidRPr="00992B46">
        <w:rPr>
          <w:i/>
        </w:rPr>
        <w:t xml:space="preserve">please </w:t>
      </w:r>
      <w:r w:rsidR="004147E7">
        <w:rPr>
          <w:i/>
        </w:rPr>
        <w:t>include that in the Letter of Intent</w:t>
      </w:r>
      <w:r w:rsidRPr="00992B46">
        <w:rPr>
          <w:i/>
        </w:rPr>
        <w:t xml:space="preserve">. </w:t>
      </w:r>
    </w:p>
    <w:p w:rsidR="001620E7" w:rsidRPr="00992B46" w:rsidRDefault="001620E7" w:rsidP="003373FC">
      <w:pPr>
        <w:spacing w:line="480" w:lineRule="auto"/>
        <w:ind w:firstLine="720"/>
        <w:rPr>
          <w:i/>
        </w:rPr>
      </w:pPr>
      <w:r w:rsidRPr="00992B46">
        <w:rPr>
          <w:i/>
        </w:rPr>
        <w:t xml:space="preserve">A Project Ranking Committee has been developed made up of members of the GBCATCH not receiving funding to review the criteria for Ranking in Tier 1 and Tier 2. The Committee will develop a proposed ranking of the </w:t>
      </w:r>
      <w:proofErr w:type="spellStart"/>
      <w:r w:rsidRPr="00992B46">
        <w:rPr>
          <w:i/>
        </w:rPr>
        <w:t>CoC’s</w:t>
      </w:r>
      <w:proofErr w:type="spellEnd"/>
      <w:r w:rsidRPr="00992B46">
        <w:rPr>
          <w:i/>
        </w:rPr>
        <w:t xml:space="preserve"> projects according to HUD’s priorities according to the instructions below:</w:t>
      </w:r>
    </w:p>
    <w:p w:rsidR="005159F4" w:rsidRDefault="005159F4" w:rsidP="005159F4">
      <w:pPr>
        <w:autoSpaceDE w:val="0"/>
        <w:autoSpaceDN w:val="0"/>
        <w:adjustRightInd w:val="0"/>
        <w:jc w:val="center"/>
        <w:rPr>
          <w:rFonts w:ascii="Calibri-Bold" w:hAnsi="Calibri-Bold" w:cs="Calibri-Bold"/>
          <w:b/>
          <w:bCs/>
        </w:rPr>
      </w:pPr>
      <w:r>
        <w:rPr>
          <w:rFonts w:ascii="Calibri-Bold" w:hAnsi="Calibri-Bold" w:cs="Calibri-Bold"/>
          <w:b/>
          <w:bCs/>
        </w:rPr>
        <w:t>FY 2017 Continuum of Care (</w:t>
      </w:r>
      <w:proofErr w:type="spellStart"/>
      <w:r>
        <w:rPr>
          <w:rFonts w:ascii="Calibri-Bold" w:hAnsi="Calibri-Bold" w:cs="Calibri-Bold"/>
          <w:b/>
          <w:bCs/>
        </w:rPr>
        <w:t>CoC</w:t>
      </w:r>
      <w:proofErr w:type="spellEnd"/>
      <w:r>
        <w:rPr>
          <w:rFonts w:ascii="Calibri-Bold" w:hAnsi="Calibri-Bold" w:cs="Calibri-Bold"/>
          <w:b/>
          <w:bCs/>
        </w:rPr>
        <w:t>) Program Competition NOFA</w:t>
      </w:r>
    </w:p>
    <w:p w:rsidR="005159F4" w:rsidRDefault="005159F4" w:rsidP="005159F4">
      <w:pPr>
        <w:autoSpaceDE w:val="0"/>
        <w:autoSpaceDN w:val="0"/>
        <w:adjustRightInd w:val="0"/>
        <w:jc w:val="center"/>
        <w:rPr>
          <w:rFonts w:ascii="Calibri-Bold" w:hAnsi="Calibri-Bold" w:cs="Calibri-Bold"/>
          <w:b/>
          <w:bCs/>
        </w:rPr>
      </w:pPr>
      <w:proofErr w:type="spellStart"/>
      <w:r>
        <w:rPr>
          <w:rFonts w:ascii="Calibri-Bold" w:hAnsi="Calibri-Bold" w:cs="Calibri-Bold"/>
          <w:b/>
          <w:bCs/>
        </w:rPr>
        <w:t>CoC</w:t>
      </w:r>
      <w:proofErr w:type="spellEnd"/>
      <w:r>
        <w:rPr>
          <w:rFonts w:ascii="Calibri-Bold" w:hAnsi="Calibri-Bold" w:cs="Calibri-Bold"/>
          <w:b/>
          <w:bCs/>
        </w:rPr>
        <w:t xml:space="preserve"> Estimated Annual Renewal Demand Report (Revised 7/20/2017)</w:t>
      </w:r>
    </w:p>
    <w:p w:rsidR="005159F4" w:rsidRDefault="005159F4" w:rsidP="005159F4">
      <w:pPr>
        <w:autoSpaceDE w:val="0"/>
        <w:autoSpaceDN w:val="0"/>
        <w:adjustRightInd w:val="0"/>
        <w:jc w:val="both"/>
      </w:pPr>
    </w:p>
    <w:p w:rsidR="005159F4" w:rsidRPr="00C37DE0" w:rsidRDefault="005159F4" w:rsidP="005159F4">
      <w:pPr>
        <w:autoSpaceDE w:val="0"/>
        <w:autoSpaceDN w:val="0"/>
        <w:adjustRightInd w:val="0"/>
        <w:jc w:val="both"/>
      </w:pPr>
      <w:r w:rsidRPr="00C37DE0">
        <w:t xml:space="preserve">As stated in Section IV.A. </w:t>
      </w:r>
      <w:proofErr w:type="gramStart"/>
      <w:r w:rsidRPr="00C37DE0">
        <w:t>of</w:t>
      </w:r>
      <w:proofErr w:type="gramEnd"/>
      <w:r w:rsidRPr="00C37DE0">
        <w:t xml:space="preserve"> the FY 2017 </w:t>
      </w:r>
      <w:proofErr w:type="spellStart"/>
      <w:r w:rsidRPr="00C37DE0">
        <w:t>CoC</w:t>
      </w:r>
      <w:proofErr w:type="spellEnd"/>
      <w:r w:rsidRPr="00C37DE0">
        <w:t xml:space="preserve"> Program Competition NOFA, approximately $2 billion of FY 2017 funds is available for funding. Carried over or recaptured funds from previous fiscal years, if available, may be added to this amount.  Although the available amount of funding is expected to be sufficient to fund anticipated eligible renewal projects in the FY 2017 funding process, HUD will continue to require Collaborative Applicants to rank all projects in two tiers. Tier 1 is equal to the greater of the combined amount of Annual Renewal Amount (ARA) for all permanent housing and HMIS projects eligible for renewal up to $1,000,000 or 94 percent of the </w:t>
      </w:r>
      <w:proofErr w:type="spellStart"/>
      <w:r w:rsidRPr="00C37DE0">
        <w:t>CoC’s</w:t>
      </w:r>
      <w:proofErr w:type="spellEnd"/>
      <w:r w:rsidRPr="00C37DE0">
        <w:t xml:space="preserve"> FY 2017 Annual Renewal Demand (ARD), as described in Section III.A.3.a. </w:t>
      </w:r>
      <w:proofErr w:type="gramStart"/>
      <w:r w:rsidRPr="00C37DE0">
        <w:t>of</w:t>
      </w:r>
      <w:proofErr w:type="gramEnd"/>
      <w:r w:rsidRPr="00C37DE0">
        <w:t xml:space="preserve"> the NOFA. Tier 2 is the difference between Tier 1 and the </w:t>
      </w:r>
      <w:proofErr w:type="spellStart"/>
      <w:r w:rsidRPr="00C37DE0">
        <w:t>CoC’s</w:t>
      </w:r>
      <w:proofErr w:type="spellEnd"/>
      <w:r w:rsidRPr="00C37DE0">
        <w:t xml:space="preserve"> ARD plus any amount available for the permanent housing bonus as described in Section II.B.3.b. </w:t>
      </w:r>
      <w:proofErr w:type="gramStart"/>
      <w:r w:rsidRPr="00C37DE0">
        <w:t>of</w:t>
      </w:r>
      <w:proofErr w:type="gramEnd"/>
      <w:r w:rsidRPr="00C37DE0">
        <w:t xml:space="preserve"> the NOFA.</w:t>
      </w:r>
    </w:p>
    <w:p w:rsidR="005159F4" w:rsidRPr="00C37DE0" w:rsidRDefault="005159F4" w:rsidP="005159F4">
      <w:pPr>
        <w:autoSpaceDE w:val="0"/>
        <w:autoSpaceDN w:val="0"/>
        <w:adjustRightInd w:val="0"/>
      </w:pPr>
    </w:p>
    <w:p w:rsidR="005159F4" w:rsidRPr="00C37DE0" w:rsidRDefault="005159F4" w:rsidP="005159F4">
      <w:pPr>
        <w:autoSpaceDE w:val="0"/>
        <w:autoSpaceDN w:val="0"/>
        <w:adjustRightInd w:val="0"/>
        <w:jc w:val="both"/>
      </w:pPr>
      <w:r w:rsidRPr="00C37DE0">
        <w:lastRenderedPageBreak/>
        <w:t xml:space="preserve">New in FY 2017, ARD is no longer calculated based on the final GIW for each </w:t>
      </w:r>
      <w:proofErr w:type="spellStart"/>
      <w:r w:rsidRPr="00C37DE0">
        <w:t>CoC</w:t>
      </w:r>
      <w:proofErr w:type="spellEnd"/>
      <w:r w:rsidRPr="00C37DE0">
        <w:t xml:space="preserve"> posted on the HUD Exchange.  </w:t>
      </w:r>
      <w:proofErr w:type="gramStart"/>
      <w:r w:rsidRPr="00C37DE0">
        <w:t>Section III.A.3.a.</w:t>
      </w:r>
      <w:proofErr w:type="gramEnd"/>
      <w:r w:rsidRPr="00C37DE0">
        <w:t xml:space="preserve"> of the FY 2017 </w:t>
      </w:r>
      <w:proofErr w:type="spellStart"/>
      <w:r w:rsidRPr="00C37DE0">
        <w:t>CoC</w:t>
      </w:r>
      <w:proofErr w:type="spellEnd"/>
      <w:r w:rsidRPr="00C37DE0">
        <w:t xml:space="preserve"> Program Competition NOFA defines ARD as, “The total amount of all the </w:t>
      </w:r>
      <w:proofErr w:type="spellStart"/>
      <w:r w:rsidRPr="00C37DE0">
        <w:t>CoC’s</w:t>
      </w:r>
      <w:proofErr w:type="spellEnd"/>
      <w:r w:rsidRPr="00C37DE0">
        <w:t xml:space="preserve"> projects that will be eligible for renewal in the FY 2017 </w:t>
      </w:r>
      <w:proofErr w:type="spellStart"/>
      <w:r w:rsidRPr="00C37DE0">
        <w:t>CoC</w:t>
      </w:r>
      <w:proofErr w:type="spellEnd"/>
      <w:r w:rsidRPr="00C37DE0">
        <w:t xml:space="preserve"> Program Competition, before any required adjustments to funding for leasing, rental assistance, and operating budget line items based on FMR changes. The ARD will be calculated by combining the total amount of funds requested by eligible renewal projects on the Renewal Project Listing combined and the eligible renewal project amount(s) that were reallocated.”</w:t>
      </w:r>
    </w:p>
    <w:p w:rsidR="005159F4" w:rsidRPr="00C37DE0" w:rsidRDefault="005159F4" w:rsidP="005159F4">
      <w:pPr>
        <w:autoSpaceDE w:val="0"/>
        <w:autoSpaceDN w:val="0"/>
        <w:adjustRightInd w:val="0"/>
        <w:jc w:val="both"/>
      </w:pPr>
    </w:p>
    <w:p w:rsidR="005159F4" w:rsidRPr="00C37DE0" w:rsidRDefault="005159F4" w:rsidP="005159F4">
      <w:pPr>
        <w:autoSpaceDE w:val="0"/>
        <w:autoSpaceDN w:val="0"/>
        <w:adjustRightInd w:val="0"/>
        <w:jc w:val="both"/>
      </w:pPr>
      <w:r w:rsidRPr="00C37DE0">
        <w:t xml:space="preserve">The following information provides each </w:t>
      </w:r>
      <w:proofErr w:type="spellStart"/>
      <w:r w:rsidRPr="00C37DE0">
        <w:t>CoC</w:t>
      </w:r>
      <w:proofErr w:type="spellEnd"/>
      <w:r w:rsidRPr="00C37DE0">
        <w:t xml:space="preserve"> the Preliminary Pro Rata Need (PPRN), Estimated ARD, Estimated ARD at 94 percent (Tier 1), </w:t>
      </w:r>
      <w:proofErr w:type="spellStart"/>
      <w:r w:rsidRPr="00C37DE0">
        <w:t>CoC</w:t>
      </w:r>
      <w:proofErr w:type="spellEnd"/>
      <w:r w:rsidRPr="00C37DE0">
        <w:t xml:space="preserve"> Planning, and Permanent Housing Bonus amounts for each </w:t>
      </w:r>
      <w:proofErr w:type="spellStart"/>
      <w:r w:rsidRPr="00C37DE0">
        <w:t>CoC</w:t>
      </w:r>
      <w:proofErr w:type="spellEnd"/>
      <w:r w:rsidRPr="00C37DE0">
        <w:t xml:space="preserve"> listed. See Section IV.B.2.g of the FY 2017 </w:t>
      </w:r>
      <w:proofErr w:type="spellStart"/>
      <w:r w:rsidRPr="00C37DE0">
        <w:t>CoC</w:t>
      </w:r>
      <w:proofErr w:type="spellEnd"/>
      <w:r w:rsidRPr="00C37DE0">
        <w:t xml:space="preserve"> Program Competition NOFA for the calculations used to determine the </w:t>
      </w:r>
      <w:proofErr w:type="spellStart"/>
      <w:r w:rsidRPr="00C37DE0">
        <w:t>CoC</w:t>
      </w:r>
      <w:proofErr w:type="spellEnd"/>
      <w:r w:rsidRPr="00C37DE0">
        <w:t xml:space="preserve"> planning amounts and Section II.B.2.b. </w:t>
      </w:r>
      <w:proofErr w:type="gramStart"/>
      <w:r w:rsidRPr="00C37DE0">
        <w:t>for</w:t>
      </w:r>
      <w:proofErr w:type="gramEnd"/>
      <w:r w:rsidRPr="00C37DE0">
        <w:t xml:space="preserve"> the calculations used to determine the Permanent Housing Bonus amounts.</w:t>
      </w:r>
    </w:p>
    <w:p w:rsidR="005159F4" w:rsidRPr="00C37DE0" w:rsidRDefault="005159F4" w:rsidP="005159F4">
      <w:pPr>
        <w:autoSpaceDE w:val="0"/>
        <w:autoSpaceDN w:val="0"/>
        <w:adjustRightInd w:val="0"/>
        <w:rPr>
          <w:b/>
          <w:bCs/>
        </w:rPr>
      </w:pPr>
    </w:p>
    <w:p w:rsidR="005159F4" w:rsidRPr="00C37DE0" w:rsidRDefault="005159F4" w:rsidP="005159F4">
      <w:pPr>
        <w:rPr>
          <w:b/>
          <w:bCs/>
        </w:rPr>
      </w:pPr>
    </w:p>
    <w:tbl>
      <w:tblPr>
        <w:tblStyle w:val="TableGrid"/>
        <w:tblW w:w="0" w:type="auto"/>
        <w:tblLook w:val="04A0" w:firstRow="1" w:lastRow="0" w:firstColumn="1" w:lastColumn="0" w:noHBand="0" w:noVBand="1"/>
      </w:tblPr>
      <w:tblGrid>
        <w:gridCol w:w="1736"/>
        <w:gridCol w:w="1565"/>
        <w:gridCol w:w="1573"/>
        <w:gridCol w:w="1568"/>
        <w:gridCol w:w="1561"/>
        <w:gridCol w:w="1573"/>
      </w:tblGrid>
      <w:tr w:rsidR="005159F4" w:rsidRPr="00C37DE0" w:rsidTr="00C81A21">
        <w:tc>
          <w:tcPr>
            <w:tcW w:w="1624" w:type="dxa"/>
          </w:tcPr>
          <w:p w:rsidR="005159F4" w:rsidRPr="00C37DE0" w:rsidRDefault="005159F4" w:rsidP="00C81A21">
            <w:pPr>
              <w:rPr>
                <w:b/>
                <w:bCs/>
              </w:rPr>
            </w:pPr>
            <w:proofErr w:type="spellStart"/>
            <w:r w:rsidRPr="00C37DE0">
              <w:rPr>
                <w:b/>
                <w:bCs/>
              </w:rPr>
              <w:t>CoC</w:t>
            </w:r>
            <w:proofErr w:type="spellEnd"/>
            <w:r w:rsidRPr="00C37DE0">
              <w:rPr>
                <w:b/>
                <w:bCs/>
              </w:rPr>
              <w:t xml:space="preserve"> Number and Name</w:t>
            </w:r>
          </w:p>
        </w:tc>
        <w:tc>
          <w:tcPr>
            <w:tcW w:w="1594" w:type="dxa"/>
          </w:tcPr>
          <w:p w:rsidR="005159F4" w:rsidRPr="00C37DE0" w:rsidRDefault="005159F4" w:rsidP="00C81A21">
            <w:pPr>
              <w:rPr>
                <w:b/>
                <w:bCs/>
              </w:rPr>
            </w:pPr>
            <w:r w:rsidRPr="00C37DE0">
              <w:rPr>
                <w:b/>
                <w:bCs/>
              </w:rPr>
              <w:t xml:space="preserve">PPRN </w:t>
            </w:r>
          </w:p>
        </w:tc>
        <w:tc>
          <w:tcPr>
            <w:tcW w:w="1594" w:type="dxa"/>
          </w:tcPr>
          <w:p w:rsidR="005159F4" w:rsidRPr="00C37DE0" w:rsidRDefault="005159F4" w:rsidP="00C81A21">
            <w:pPr>
              <w:rPr>
                <w:b/>
                <w:bCs/>
              </w:rPr>
            </w:pPr>
            <w:r w:rsidRPr="00C37DE0">
              <w:rPr>
                <w:b/>
                <w:bCs/>
              </w:rPr>
              <w:t>Estimated ARD</w:t>
            </w:r>
          </w:p>
        </w:tc>
        <w:tc>
          <w:tcPr>
            <w:tcW w:w="1588" w:type="dxa"/>
          </w:tcPr>
          <w:p w:rsidR="005159F4" w:rsidRPr="00C37DE0" w:rsidRDefault="005159F4" w:rsidP="00C81A21">
            <w:pPr>
              <w:rPr>
                <w:b/>
                <w:bCs/>
              </w:rPr>
            </w:pPr>
            <w:r w:rsidRPr="00C37DE0">
              <w:rPr>
                <w:b/>
                <w:bCs/>
              </w:rPr>
              <w:t>Estimated ARD at 94 Percent</w:t>
            </w:r>
          </w:p>
        </w:tc>
        <w:tc>
          <w:tcPr>
            <w:tcW w:w="1588" w:type="dxa"/>
          </w:tcPr>
          <w:p w:rsidR="005159F4" w:rsidRPr="00C37DE0" w:rsidRDefault="005159F4" w:rsidP="00C81A21">
            <w:pPr>
              <w:autoSpaceDE w:val="0"/>
              <w:autoSpaceDN w:val="0"/>
              <w:adjustRightInd w:val="0"/>
              <w:rPr>
                <w:b/>
                <w:bCs/>
              </w:rPr>
            </w:pPr>
            <w:proofErr w:type="spellStart"/>
            <w:r w:rsidRPr="00C37DE0">
              <w:rPr>
                <w:b/>
                <w:bCs/>
              </w:rPr>
              <w:t>CoC</w:t>
            </w:r>
            <w:proofErr w:type="spellEnd"/>
            <w:r w:rsidRPr="00C37DE0">
              <w:rPr>
                <w:b/>
                <w:bCs/>
              </w:rPr>
              <w:t xml:space="preserve"> Planning </w:t>
            </w:r>
          </w:p>
          <w:p w:rsidR="005159F4" w:rsidRPr="00C37DE0" w:rsidRDefault="005159F4" w:rsidP="00C81A21">
            <w:pPr>
              <w:rPr>
                <w:b/>
                <w:bCs/>
              </w:rPr>
            </w:pPr>
          </w:p>
        </w:tc>
        <w:tc>
          <w:tcPr>
            <w:tcW w:w="1588" w:type="dxa"/>
          </w:tcPr>
          <w:p w:rsidR="005159F4" w:rsidRPr="00C37DE0" w:rsidRDefault="005159F4" w:rsidP="00C81A21">
            <w:pPr>
              <w:autoSpaceDE w:val="0"/>
              <w:autoSpaceDN w:val="0"/>
              <w:adjustRightInd w:val="0"/>
              <w:rPr>
                <w:b/>
                <w:bCs/>
              </w:rPr>
            </w:pPr>
            <w:r w:rsidRPr="00C37DE0">
              <w:rPr>
                <w:b/>
                <w:bCs/>
              </w:rPr>
              <w:t>Permanent</w:t>
            </w:r>
          </w:p>
          <w:p w:rsidR="005159F4" w:rsidRPr="00C37DE0" w:rsidRDefault="005159F4" w:rsidP="00C81A21">
            <w:pPr>
              <w:autoSpaceDE w:val="0"/>
              <w:autoSpaceDN w:val="0"/>
              <w:adjustRightInd w:val="0"/>
              <w:rPr>
                <w:b/>
                <w:bCs/>
              </w:rPr>
            </w:pPr>
            <w:r w:rsidRPr="00C37DE0">
              <w:rPr>
                <w:b/>
                <w:bCs/>
              </w:rPr>
              <w:t>Housing</w:t>
            </w:r>
          </w:p>
          <w:p w:rsidR="005159F4" w:rsidRPr="00C37DE0" w:rsidRDefault="005159F4" w:rsidP="00C81A21">
            <w:pPr>
              <w:rPr>
                <w:b/>
                <w:bCs/>
              </w:rPr>
            </w:pPr>
            <w:r w:rsidRPr="00C37DE0">
              <w:rPr>
                <w:b/>
                <w:bCs/>
              </w:rPr>
              <w:t>Bonus</w:t>
            </w:r>
          </w:p>
        </w:tc>
      </w:tr>
      <w:tr w:rsidR="005159F4" w:rsidRPr="00C37DE0" w:rsidTr="00C81A21">
        <w:tc>
          <w:tcPr>
            <w:tcW w:w="1624" w:type="dxa"/>
          </w:tcPr>
          <w:p w:rsidR="005159F4" w:rsidRPr="00C37DE0" w:rsidRDefault="005159F4" w:rsidP="00C81A21">
            <w:pPr>
              <w:autoSpaceDE w:val="0"/>
              <w:autoSpaceDN w:val="0"/>
              <w:adjustRightInd w:val="0"/>
            </w:pPr>
            <w:r w:rsidRPr="00C37DE0">
              <w:t xml:space="preserve">MA-519 - Attleboro, Taunton/Bristol County </w:t>
            </w:r>
            <w:proofErr w:type="spellStart"/>
            <w:r w:rsidRPr="00C37DE0">
              <w:t>CoC</w:t>
            </w:r>
            <w:proofErr w:type="spellEnd"/>
          </w:p>
          <w:p w:rsidR="005159F4" w:rsidRPr="00C37DE0" w:rsidRDefault="005159F4" w:rsidP="00C81A21">
            <w:pPr>
              <w:rPr>
                <w:b/>
                <w:bCs/>
              </w:rPr>
            </w:pPr>
          </w:p>
        </w:tc>
        <w:tc>
          <w:tcPr>
            <w:tcW w:w="1594" w:type="dxa"/>
          </w:tcPr>
          <w:p w:rsidR="005159F4" w:rsidRPr="00C37DE0" w:rsidRDefault="005159F4" w:rsidP="00C81A21">
            <w:pPr>
              <w:rPr>
                <w:b/>
                <w:bCs/>
              </w:rPr>
            </w:pPr>
            <w:r w:rsidRPr="00C37DE0">
              <w:t>$810,198</w:t>
            </w:r>
          </w:p>
        </w:tc>
        <w:tc>
          <w:tcPr>
            <w:tcW w:w="1594" w:type="dxa"/>
          </w:tcPr>
          <w:p w:rsidR="005159F4" w:rsidRPr="00C37DE0" w:rsidRDefault="005159F4" w:rsidP="00C81A21">
            <w:pPr>
              <w:rPr>
                <w:b/>
                <w:bCs/>
              </w:rPr>
            </w:pPr>
            <w:r w:rsidRPr="00C37DE0">
              <w:t>$775,196</w:t>
            </w:r>
          </w:p>
        </w:tc>
        <w:tc>
          <w:tcPr>
            <w:tcW w:w="1588" w:type="dxa"/>
          </w:tcPr>
          <w:p w:rsidR="005159F4" w:rsidRPr="00C37DE0" w:rsidRDefault="005159F4" w:rsidP="00C81A21">
            <w:pPr>
              <w:spacing w:after="200" w:line="276" w:lineRule="auto"/>
            </w:pPr>
            <w:r w:rsidRPr="00C37DE0">
              <w:t xml:space="preserve">$728,684 </w:t>
            </w:r>
          </w:p>
          <w:p w:rsidR="005159F4" w:rsidRPr="00C37DE0" w:rsidRDefault="005159F4" w:rsidP="00C81A21">
            <w:pPr>
              <w:rPr>
                <w:b/>
                <w:bCs/>
              </w:rPr>
            </w:pPr>
          </w:p>
        </w:tc>
        <w:tc>
          <w:tcPr>
            <w:tcW w:w="1588" w:type="dxa"/>
          </w:tcPr>
          <w:p w:rsidR="005159F4" w:rsidRPr="00C37DE0" w:rsidRDefault="005159F4" w:rsidP="00C81A21">
            <w:pPr>
              <w:rPr>
                <w:b/>
                <w:bCs/>
              </w:rPr>
            </w:pPr>
            <w:r w:rsidRPr="00C37DE0">
              <w:t>$24,306</w:t>
            </w:r>
          </w:p>
        </w:tc>
        <w:tc>
          <w:tcPr>
            <w:tcW w:w="1588" w:type="dxa"/>
          </w:tcPr>
          <w:p w:rsidR="005159F4" w:rsidRPr="00C37DE0" w:rsidRDefault="005159F4" w:rsidP="00C81A21">
            <w:pPr>
              <w:spacing w:after="200" w:line="276" w:lineRule="auto"/>
            </w:pPr>
            <w:r w:rsidRPr="00C37DE0">
              <w:t>$48,612</w:t>
            </w:r>
          </w:p>
          <w:p w:rsidR="005159F4" w:rsidRPr="00C37DE0" w:rsidRDefault="005159F4" w:rsidP="00C81A21">
            <w:pPr>
              <w:rPr>
                <w:b/>
                <w:bCs/>
              </w:rPr>
            </w:pPr>
          </w:p>
        </w:tc>
      </w:tr>
    </w:tbl>
    <w:p w:rsidR="005159F4" w:rsidRDefault="005159F4" w:rsidP="005159F4">
      <w:pPr>
        <w:rPr>
          <w:b/>
          <w:bCs/>
        </w:rPr>
      </w:pPr>
    </w:p>
    <w:p w:rsidR="001620E7" w:rsidRPr="00992B46" w:rsidRDefault="001620E7" w:rsidP="00992B46">
      <w:pPr>
        <w:pStyle w:val="Default"/>
        <w:spacing w:after="106" w:line="480" w:lineRule="auto"/>
        <w:rPr>
          <w:b/>
          <w:bCs/>
          <w:i/>
          <w:color w:val="auto"/>
        </w:rPr>
      </w:pPr>
    </w:p>
    <w:p w:rsidR="00F53039" w:rsidRDefault="001620E7" w:rsidP="00992B46">
      <w:pPr>
        <w:spacing w:line="480" w:lineRule="auto"/>
        <w:rPr>
          <w:i/>
        </w:rPr>
      </w:pPr>
      <w:r w:rsidRPr="00992B46">
        <w:rPr>
          <w:i/>
        </w:rPr>
        <w:t xml:space="preserve">We are also hoping to submit a new project for permanent housing, or HMIS based on any reallocation as well as the permanent housing bonus. If any agency providing homeless services in our </w:t>
      </w:r>
      <w:proofErr w:type="spellStart"/>
      <w:r w:rsidRPr="00992B46">
        <w:rPr>
          <w:i/>
        </w:rPr>
        <w:t>CoC</w:t>
      </w:r>
      <w:proofErr w:type="spellEnd"/>
      <w:r w:rsidRPr="00992B46">
        <w:rPr>
          <w:i/>
        </w:rPr>
        <w:t xml:space="preserve"> is interested in submitting a new project please send an email to Kevin McCarthy, Chair of the GBCATCH by </w:t>
      </w:r>
      <w:r w:rsidR="005159F4">
        <w:rPr>
          <w:i/>
        </w:rPr>
        <w:t>August 14th</w:t>
      </w:r>
      <w:r w:rsidRPr="00992B46">
        <w:rPr>
          <w:i/>
          <w:vertAlign w:val="superscript"/>
        </w:rPr>
        <w:t>th</w:t>
      </w:r>
      <w:r w:rsidRPr="00992B46">
        <w:rPr>
          <w:i/>
        </w:rPr>
        <w:t xml:space="preserve"> at 5 pm in order to have the necessary time to prepare the application which will be due in e-snaps by August </w:t>
      </w:r>
      <w:r w:rsidR="005159F4">
        <w:rPr>
          <w:i/>
        </w:rPr>
        <w:t>28</w:t>
      </w:r>
      <w:r w:rsidRPr="00992B46">
        <w:rPr>
          <w:i/>
        </w:rPr>
        <w:t>th. The amount avail</w:t>
      </w:r>
      <w:r w:rsidR="00992B46" w:rsidRPr="00992B46">
        <w:rPr>
          <w:i/>
        </w:rPr>
        <w:t xml:space="preserve">able for </w:t>
      </w:r>
      <w:r w:rsidR="004147E7">
        <w:rPr>
          <w:i/>
        </w:rPr>
        <w:t xml:space="preserve">the Permanent Housing Bonus will be </w:t>
      </w:r>
      <w:r w:rsidRPr="00992B46">
        <w:rPr>
          <w:i/>
        </w:rPr>
        <w:t>$</w:t>
      </w:r>
      <w:r w:rsidR="004147E7">
        <w:rPr>
          <w:i/>
        </w:rPr>
        <w:t>48,612</w:t>
      </w:r>
      <w:r w:rsidRPr="00992B46">
        <w:rPr>
          <w:i/>
        </w:rPr>
        <w:t xml:space="preserve"> See attached instructions for letter of intent. </w:t>
      </w:r>
    </w:p>
    <w:p w:rsidR="003373FC" w:rsidRPr="003373FC" w:rsidRDefault="003373FC" w:rsidP="00992B46">
      <w:pPr>
        <w:spacing w:line="480" w:lineRule="auto"/>
        <w:rPr>
          <w:i/>
        </w:rPr>
      </w:pPr>
    </w:p>
    <w:p w:rsidR="00D41BE7" w:rsidRPr="00596E24" w:rsidRDefault="00D41BE7" w:rsidP="00992B46">
      <w:pPr>
        <w:spacing w:line="480" w:lineRule="auto"/>
      </w:pPr>
      <w:r w:rsidRPr="00596E24">
        <w:t xml:space="preserve">A Project Ranking </w:t>
      </w:r>
      <w:r w:rsidR="00596E24" w:rsidRPr="00596E24">
        <w:t xml:space="preserve">/Application </w:t>
      </w:r>
      <w:r w:rsidRPr="00596E24">
        <w:t xml:space="preserve">Committee </w:t>
      </w:r>
      <w:proofErr w:type="gramStart"/>
      <w:r w:rsidR="004147E7">
        <w:t>w</w:t>
      </w:r>
      <w:r w:rsidRPr="00596E24">
        <w:t>as</w:t>
      </w:r>
      <w:proofErr w:type="gramEnd"/>
      <w:r w:rsidR="00F53039">
        <w:t xml:space="preserve"> </w:t>
      </w:r>
      <w:r w:rsidRPr="00596E24">
        <w:t xml:space="preserve">developed made up of members of the GBCATCH not receiving funding to review the criteria for Ranking in Tier 1 and Tier 2. The </w:t>
      </w:r>
      <w:r w:rsidRPr="00596E24">
        <w:lastRenderedPageBreak/>
        <w:t xml:space="preserve">Committee will develop a proposed ranking of the </w:t>
      </w:r>
      <w:proofErr w:type="spellStart"/>
      <w:r w:rsidRPr="00596E24">
        <w:t>CoC’s</w:t>
      </w:r>
      <w:proofErr w:type="spellEnd"/>
      <w:r w:rsidRPr="00596E24">
        <w:t xml:space="preserve"> projects according to HUD’s priorities according to the instructions below:</w:t>
      </w:r>
    </w:p>
    <w:p w:rsidR="00F92681" w:rsidRPr="00596E24" w:rsidRDefault="00992B46" w:rsidP="00992B46">
      <w:pPr>
        <w:pStyle w:val="NormalWeb"/>
        <w:spacing w:line="480" w:lineRule="auto"/>
        <w:jc w:val="both"/>
        <w:rPr>
          <w:color w:val="000000"/>
        </w:rPr>
      </w:pPr>
      <w:r>
        <w:rPr>
          <w:color w:val="000000"/>
        </w:rPr>
        <w:t>T</w:t>
      </w:r>
      <w:r w:rsidR="00F92681" w:rsidRPr="00596E24">
        <w:rPr>
          <w:color w:val="000000"/>
        </w:rPr>
        <w:t xml:space="preserve">he Committee used objective </w:t>
      </w:r>
      <w:r w:rsidR="00D23948" w:rsidRPr="00596E24">
        <w:rPr>
          <w:color w:val="000000"/>
        </w:rPr>
        <w:t xml:space="preserve">criteria </w:t>
      </w:r>
      <w:r w:rsidR="00947BCF" w:rsidRPr="00596E24">
        <w:rPr>
          <w:color w:val="000000"/>
        </w:rPr>
        <w:t xml:space="preserve">to </w:t>
      </w:r>
      <w:r w:rsidR="00F92681" w:rsidRPr="00596E24">
        <w:rPr>
          <w:color w:val="000000"/>
        </w:rPr>
        <w:t xml:space="preserve">rank all projects.  The </w:t>
      </w:r>
      <w:r w:rsidR="00947BCF" w:rsidRPr="00596E24">
        <w:rPr>
          <w:color w:val="000000"/>
        </w:rPr>
        <w:t xml:space="preserve">criterion was </w:t>
      </w:r>
      <w:r w:rsidR="00F92681" w:rsidRPr="00596E24">
        <w:rPr>
          <w:color w:val="000000"/>
        </w:rPr>
        <w:t xml:space="preserve">provided </w:t>
      </w:r>
      <w:r w:rsidR="00947BCF" w:rsidRPr="00596E24">
        <w:rPr>
          <w:color w:val="000000"/>
        </w:rPr>
        <w:t>to all Applicants based on HUD’s priorities for the 201</w:t>
      </w:r>
      <w:r w:rsidR="004147E7">
        <w:rPr>
          <w:color w:val="000000"/>
        </w:rPr>
        <w:t>7</w:t>
      </w:r>
      <w:r w:rsidR="001620E7">
        <w:rPr>
          <w:color w:val="000000"/>
        </w:rPr>
        <w:t xml:space="preserve"> </w:t>
      </w:r>
      <w:r w:rsidR="00947BCF" w:rsidRPr="00596E24">
        <w:rPr>
          <w:color w:val="000000"/>
        </w:rPr>
        <w:t>competition</w:t>
      </w:r>
      <w:r w:rsidR="00D23948" w:rsidRPr="00596E24">
        <w:rPr>
          <w:color w:val="000000"/>
        </w:rPr>
        <w:t xml:space="preserve"> and sent out in emails to all applicants and members of the </w:t>
      </w:r>
      <w:proofErr w:type="spellStart"/>
      <w:r w:rsidR="00D23948" w:rsidRPr="00596E24">
        <w:rPr>
          <w:color w:val="000000"/>
        </w:rPr>
        <w:t>CoC</w:t>
      </w:r>
      <w:proofErr w:type="spellEnd"/>
      <w:r w:rsidR="00947BCF" w:rsidRPr="00596E24">
        <w:rPr>
          <w:color w:val="000000"/>
        </w:rPr>
        <w:t>. The committee looked at performance outcomes, including working with the number of clients as outlined in the original project, recaptured funds, number of chronic h</w:t>
      </w:r>
      <w:r w:rsidR="00596E24" w:rsidRPr="00596E24">
        <w:rPr>
          <w:color w:val="000000"/>
        </w:rPr>
        <w:t>omeless</w:t>
      </w:r>
      <w:r w:rsidR="001620E7">
        <w:rPr>
          <w:color w:val="000000"/>
        </w:rPr>
        <w:t xml:space="preserve"> </w:t>
      </w:r>
      <w:r w:rsidR="001620E7" w:rsidRPr="00596E24">
        <w:rPr>
          <w:color w:val="000000"/>
        </w:rPr>
        <w:t>served</w:t>
      </w:r>
      <w:r w:rsidR="001620E7">
        <w:rPr>
          <w:color w:val="000000"/>
        </w:rPr>
        <w:t>, goals and objectives met</w:t>
      </w:r>
      <w:r w:rsidR="00596E24" w:rsidRPr="00596E24">
        <w:rPr>
          <w:color w:val="000000"/>
        </w:rPr>
        <w:t xml:space="preserve">, etc. </w:t>
      </w:r>
    </w:p>
    <w:p w:rsidR="00F92681" w:rsidRPr="00596E24" w:rsidRDefault="00F92681" w:rsidP="00992B46">
      <w:pPr>
        <w:pStyle w:val="NormalWeb"/>
        <w:spacing w:line="480" w:lineRule="auto"/>
        <w:jc w:val="both"/>
        <w:rPr>
          <w:color w:val="000000"/>
        </w:rPr>
      </w:pPr>
      <w:r w:rsidRPr="00596E24">
        <w:rPr>
          <w:rStyle w:val="Strong"/>
          <w:color w:val="000000"/>
        </w:rPr>
        <w:t>Rationale for Funding and Ranking Decisions</w:t>
      </w:r>
    </w:p>
    <w:p w:rsidR="004147E7" w:rsidRDefault="004147E7" w:rsidP="00992B46">
      <w:pPr>
        <w:pStyle w:val="NormalWeb"/>
        <w:spacing w:line="480" w:lineRule="auto"/>
        <w:jc w:val="both"/>
        <w:rPr>
          <w:color w:val="000000"/>
        </w:rPr>
      </w:pPr>
      <w:r>
        <w:rPr>
          <w:color w:val="000000"/>
        </w:rPr>
        <w:t xml:space="preserve">The two agencies currently funded to provide services submitted Letters of Intent to continue their Renewal projects and submitted them to </w:t>
      </w:r>
      <w:proofErr w:type="spellStart"/>
      <w:r>
        <w:rPr>
          <w:color w:val="000000"/>
        </w:rPr>
        <w:t>Esnaps</w:t>
      </w:r>
      <w:proofErr w:type="spellEnd"/>
      <w:r>
        <w:rPr>
          <w:color w:val="000000"/>
        </w:rPr>
        <w:t xml:space="preserve"> according to the proposed timeline. CCBC </w:t>
      </w:r>
      <w:r w:rsidR="001620E7">
        <w:rPr>
          <w:color w:val="000000"/>
        </w:rPr>
        <w:t xml:space="preserve">presented a request to the </w:t>
      </w:r>
      <w:proofErr w:type="spellStart"/>
      <w:r w:rsidR="001620E7">
        <w:rPr>
          <w:color w:val="000000"/>
        </w:rPr>
        <w:t>CoC</w:t>
      </w:r>
      <w:proofErr w:type="spellEnd"/>
      <w:r w:rsidR="001620E7">
        <w:rPr>
          <w:color w:val="000000"/>
        </w:rPr>
        <w:t xml:space="preserve"> and the Committee to </w:t>
      </w:r>
      <w:r>
        <w:rPr>
          <w:color w:val="000000"/>
        </w:rPr>
        <w:t xml:space="preserve">decrease two of their projects based on recaptured funds. The goal was also to reallocate these funds into a critically needed Homeless Management Information System (HMIS) project for the </w:t>
      </w:r>
      <w:proofErr w:type="spellStart"/>
      <w:r>
        <w:rPr>
          <w:color w:val="000000"/>
        </w:rPr>
        <w:t>CoC</w:t>
      </w:r>
      <w:proofErr w:type="spellEnd"/>
      <w:r>
        <w:rPr>
          <w:color w:val="000000"/>
        </w:rPr>
        <w:t xml:space="preserve">. </w:t>
      </w:r>
      <w:r w:rsidR="001620E7">
        <w:rPr>
          <w:color w:val="000000"/>
        </w:rPr>
        <w:t xml:space="preserve"> </w:t>
      </w:r>
      <w:r>
        <w:rPr>
          <w:color w:val="000000"/>
        </w:rPr>
        <w:t xml:space="preserve">There were no Letters of Intent submitted by any other agencies for new funding for the Permanent Housing Bonus. </w:t>
      </w:r>
    </w:p>
    <w:p w:rsidR="0086001F" w:rsidRPr="00596E24" w:rsidRDefault="0086001F" w:rsidP="00992B46">
      <w:pPr>
        <w:pStyle w:val="NormalWeb"/>
        <w:spacing w:line="480" w:lineRule="auto"/>
        <w:jc w:val="both"/>
        <w:rPr>
          <w:color w:val="000000"/>
        </w:rPr>
      </w:pPr>
      <w:r w:rsidRPr="00596E24">
        <w:rPr>
          <w:color w:val="000000"/>
        </w:rPr>
        <w:t xml:space="preserve">Each agency </w:t>
      </w:r>
      <w:r w:rsidR="00CA700E" w:rsidRPr="00596E24">
        <w:rPr>
          <w:color w:val="000000"/>
        </w:rPr>
        <w:t xml:space="preserve">whose funding reduced </w:t>
      </w:r>
      <w:r w:rsidRPr="00596E24">
        <w:rPr>
          <w:color w:val="000000"/>
        </w:rPr>
        <w:t>will work with the Collaborative Applicant to amend their projects base</w:t>
      </w:r>
      <w:r w:rsidR="00FC4415">
        <w:rPr>
          <w:color w:val="000000"/>
        </w:rPr>
        <w:t>d on the recom</w:t>
      </w:r>
      <w:r w:rsidR="005159F4">
        <w:rPr>
          <w:color w:val="000000"/>
        </w:rPr>
        <w:t>mended</w:t>
      </w:r>
      <w:r w:rsidR="004147E7">
        <w:rPr>
          <w:color w:val="000000"/>
        </w:rPr>
        <w:t xml:space="preserve"> decreases in order to fund the</w:t>
      </w:r>
      <w:r w:rsidR="00FC4415">
        <w:rPr>
          <w:color w:val="000000"/>
        </w:rPr>
        <w:t xml:space="preserve"> new</w:t>
      </w:r>
      <w:r w:rsidR="004147E7">
        <w:rPr>
          <w:color w:val="000000"/>
        </w:rPr>
        <w:t>ly proposed</w:t>
      </w:r>
      <w:r w:rsidR="00FC4415">
        <w:rPr>
          <w:color w:val="000000"/>
        </w:rPr>
        <w:t xml:space="preserve"> </w:t>
      </w:r>
      <w:r w:rsidR="005159F4">
        <w:rPr>
          <w:color w:val="000000"/>
        </w:rPr>
        <w:t>HMIS project</w:t>
      </w:r>
      <w:r w:rsidR="00FC4415">
        <w:rPr>
          <w:color w:val="000000"/>
        </w:rPr>
        <w:t xml:space="preserve">. </w:t>
      </w:r>
    </w:p>
    <w:p w:rsidR="00CA2DA2" w:rsidRPr="00596E24" w:rsidRDefault="00CA2DA2" w:rsidP="00992B46">
      <w:pPr>
        <w:pStyle w:val="NormalWeb"/>
        <w:spacing w:line="480" w:lineRule="auto"/>
        <w:jc w:val="both"/>
        <w:rPr>
          <w:color w:val="000000"/>
        </w:rPr>
      </w:pPr>
      <w:r w:rsidRPr="00596E24">
        <w:rPr>
          <w:color w:val="000000"/>
        </w:rPr>
        <w:t xml:space="preserve">The selected projects will be included in the </w:t>
      </w:r>
      <w:proofErr w:type="spellStart"/>
      <w:r w:rsidRPr="00596E24">
        <w:rPr>
          <w:color w:val="000000"/>
        </w:rPr>
        <w:t>CoC</w:t>
      </w:r>
      <w:proofErr w:type="spellEnd"/>
      <w:r w:rsidRPr="00596E24">
        <w:rPr>
          <w:color w:val="000000"/>
        </w:rPr>
        <w:t xml:space="preserve"> Application which will be submitted to HUD </w:t>
      </w:r>
      <w:r w:rsidR="001620E7">
        <w:rPr>
          <w:color w:val="000000"/>
        </w:rPr>
        <w:t xml:space="preserve">by September </w:t>
      </w:r>
      <w:r w:rsidR="005159F4">
        <w:rPr>
          <w:color w:val="000000"/>
        </w:rPr>
        <w:t>28</w:t>
      </w:r>
      <w:r w:rsidR="001620E7" w:rsidRPr="001620E7">
        <w:rPr>
          <w:color w:val="000000"/>
          <w:vertAlign w:val="superscript"/>
        </w:rPr>
        <w:t>th</w:t>
      </w:r>
      <w:r w:rsidR="001620E7">
        <w:rPr>
          <w:color w:val="000000"/>
        </w:rPr>
        <w:t>, 201</w:t>
      </w:r>
      <w:r w:rsidR="005159F4">
        <w:rPr>
          <w:color w:val="000000"/>
        </w:rPr>
        <w:t>7</w:t>
      </w:r>
      <w:r w:rsidRPr="00596E24">
        <w:rPr>
          <w:color w:val="000000"/>
        </w:rPr>
        <w:t>. The Committee’s decision was posted on the</w:t>
      </w:r>
      <w:r w:rsidR="00596E24" w:rsidRPr="00596E24">
        <w:rPr>
          <w:color w:val="000000"/>
        </w:rPr>
        <w:t xml:space="preserve"> Collaborative Applicant’s webpage </w:t>
      </w:r>
      <w:hyperlink r:id="rId6" w:history="1">
        <w:r w:rsidR="00596E24" w:rsidRPr="00596E24">
          <w:rPr>
            <w:rStyle w:val="Hyperlink"/>
          </w:rPr>
          <w:t>www.comcounseling.org</w:t>
        </w:r>
      </w:hyperlink>
      <w:r w:rsidR="00596E24" w:rsidRPr="00596E24">
        <w:rPr>
          <w:color w:val="000000"/>
        </w:rPr>
        <w:t xml:space="preserve"> and the</w:t>
      </w:r>
      <w:r w:rsidRPr="00596E24">
        <w:rPr>
          <w:color w:val="000000"/>
        </w:rPr>
        <w:t xml:space="preserve"> GBCATCH Facebook page, and sent out to the entire </w:t>
      </w:r>
      <w:r w:rsidRPr="00596E24">
        <w:rPr>
          <w:color w:val="000000"/>
        </w:rPr>
        <w:lastRenderedPageBreak/>
        <w:t xml:space="preserve">membership on </w:t>
      </w:r>
      <w:r w:rsidR="005159F4">
        <w:rPr>
          <w:color w:val="000000"/>
        </w:rPr>
        <w:t xml:space="preserve">September </w:t>
      </w:r>
      <w:r w:rsidR="004147E7">
        <w:rPr>
          <w:color w:val="000000"/>
        </w:rPr>
        <w:t>1</w:t>
      </w:r>
      <w:r w:rsidR="003373FC">
        <w:rPr>
          <w:color w:val="000000"/>
        </w:rPr>
        <w:t>5</w:t>
      </w:r>
      <w:r w:rsidR="005159F4" w:rsidRPr="005159F4">
        <w:rPr>
          <w:color w:val="000000"/>
          <w:vertAlign w:val="superscript"/>
        </w:rPr>
        <w:t>th</w:t>
      </w:r>
      <w:r w:rsidR="005159F4">
        <w:rPr>
          <w:color w:val="000000"/>
        </w:rPr>
        <w:t>, 2017</w:t>
      </w:r>
      <w:r w:rsidR="00596E24" w:rsidRPr="00596E24">
        <w:rPr>
          <w:color w:val="000000"/>
        </w:rPr>
        <w:t xml:space="preserve"> for final review</w:t>
      </w:r>
      <w:r w:rsidRPr="00596E24">
        <w:rPr>
          <w:color w:val="000000"/>
        </w:rPr>
        <w:t xml:space="preserve">.  The Committee </w:t>
      </w:r>
      <w:r w:rsidR="003373FC">
        <w:rPr>
          <w:color w:val="000000"/>
        </w:rPr>
        <w:t>will present</w:t>
      </w:r>
      <w:r w:rsidRPr="00596E24">
        <w:rPr>
          <w:color w:val="000000"/>
        </w:rPr>
        <w:t xml:space="preserve"> the recommendations to the entire </w:t>
      </w:r>
      <w:proofErr w:type="spellStart"/>
      <w:r w:rsidRPr="00596E24">
        <w:rPr>
          <w:color w:val="000000"/>
        </w:rPr>
        <w:t>CoC</w:t>
      </w:r>
      <w:proofErr w:type="spellEnd"/>
      <w:r w:rsidRPr="00596E24">
        <w:rPr>
          <w:color w:val="000000"/>
        </w:rPr>
        <w:t xml:space="preserve"> for approval </w:t>
      </w:r>
      <w:r w:rsidR="003373FC">
        <w:rPr>
          <w:color w:val="000000"/>
        </w:rPr>
        <w:t>on September 19</w:t>
      </w:r>
      <w:r w:rsidR="003373FC" w:rsidRPr="003373FC">
        <w:rPr>
          <w:color w:val="000000"/>
          <w:vertAlign w:val="superscript"/>
        </w:rPr>
        <w:t>th</w:t>
      </w:r>
      <w:r w:rsidR="003373FC">
        <w:rPr>
          <w:color w:val="000000"/>
        </w:rPr>
        <w:t xml:space="preserve"> and </w:t>
      </w:r>
      <w:r w:rsidRPr="00596E24">
        <w:rPr>
          <w:color w:val="000000"/>
        </w:rPr>
        <w:t>by e</w:t>
      </w:r>
      <w:r w:rsidR="003373FC">
        <w:rPr>
          <w:color w:val="000000"/>
        </w:rPr>
        <w:t>mail.</w:t>
      </w:r>
    </w:p>
    <w:p w:rsidR="00596E24" w:rsidRPr="00992B46" w:rsidRDefault="00F92681" w:rsidP="00992B46">
      <w:pPr>
        <w:pStyle w:val="Default"/>
        <w:spacing w:line="480" w:lineRule="auto"/>
        <w:jc w:val="both"/>
        <w:rPr>
          <w:b/>
          <w:bCs/>
        </w:rPr>
      </w:pPr>
      <w:r w:rsidRPr="00596E24">
        <w:rPr>
          <w:rStyle w:val="Strong"/>
        </w:rPr>
        <w:t>Appeals</w:t>
      </w:r>
    </w:p>
    <w:p w:rsidR="00EB67AE" w:rsidRPr="00596E24" w:rsidRDefault="00F92681" w:rsidP="00992B46">
      <w:pPr>
        <w:spacing w:line="480" w:lineRule="auto"/>
        <w:jc w:val="both"/>
      </w:pPr>
      <w:r w:rsidRPr="00596E24">
        <w:rPr>
          <w:color w:val="000000"/>
        </w:rPr>
        <w:t xml:space="preserve">Agencies that wish to challenge the funding level or ranking of their project may appeal by submitting a written letter which states the reason for the appeal to </w:t>
      </w:r>
      <w:r w:rsidR="0086001F" w:rsidRPr="00596E24">
        <w:rPr>
          <w:color w:val="000000"/>
        </w:rPr>
        <w:t>Kevin McCarthy</w:t>
      </w:r>
      <w:r w:rsidRPr="00596E24">
        <w:rPr>
          <w:color w:val="000000"/>
        </w:rPr>
        <w:t xml:space="preserve">, </w:t>
      </w:r>
      <w:r w:rsidR="0086001F" w:rsidRPr="00596E24">
        <w:rPr>
          <w:color w:val="000000"/>
        </w:rPr>
        <w:t xml:space="preserve">Chair, GBCATCH, C/O Bristol County Savings Bank, 29 Broadway, </w:t>
      </w:r>
      <w:proofErr w:type="gramStart"/>
      <w:r w:rsidR="0086001F" w:rsidRPr="00596E24">
        <w:rPr>
          <w:color w:val="000000"/>
        </w:rPr>
        <w:t>Taunton</w:t>
      </w:r>
      <w:proofErr w:type="gramEnd"/>
      <w:r w:rsidR="0086001F" w:rsidRPr="00596E24">
        <w:rPr>
          <w:color w:val="000000"/>
        </w:rPr>
        <w:t>, MA 02780</w:t>
      </w:r>
      <w:r w:rsidRPr="00596E24">
        <w:rPr>
          <w:color w:val="000000"/>
        </w:rPr>
        <w:t>.  Letters must be r</w:t>
      </w:r>
      <w:r w:rsidR="0086001F" w:rsidRPr="00596E24">
        <w:rPr>
          <w:color w:val="000000"/>
        </w:rPr>
        <w:t xml:space="preserve">eceived no later than </w:t>
      </w:r>
      <w:r w:rsidR="005159F4">
        <w:rPr>
          <w:color w:val="000000"/>
        </w:rPr>
        <w:t>September 21</w:t>
      </w:r>
      <w:r w:rsidR="005159F4" w:rsidRPr="005159F4">
        <w:rPr>
          <w:color w:val="000000"/>
          <w:vertAlign w:val="superscript"/>
        </w:rPr>
        <w:t>st</w:t>
      </w:r>
      <w:r w:rsidR="005159F4">
        <w:rPr>
          <w:color w:val="000000"/>
        </w:rPr>
        <w:t>, 2017</w:t>
      </w:r>
      <w:r w:rsidRPr="00596E24">
        <w:rPr>
          <w:color w:val="000000"/>
        </w:rPr>
        <w:t xml:space="preserve"> 4 pm.</w:t>
      </w:r>
    </w:p>
    <w:sectPr w:rsidR="00EB67AE" w:rsidRPr="00596E24" w:rsidSect="00576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B2F"/>
    <w:multiLevelType w:val="multilevel"/>
    <w:tmpl w:val="183AB5B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5C06DD"/>
    <w:multiLevelType w:val="hybridMultilevel"/>
    <w:tmpl w:val="E71257A0"/>
    <w:lvl w:ilvl="0" w:tplc="1676191E">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11BC9"/>
    <w:multiLevelType w:val="hybridMultilevel"/>
    <w:tmpl w:val="230CF41E"/>
    <w:lvl w:ilvl="0" w:tplc="D4D80FCA">
      <w:start w:val="1"/>
      <w:numFmt w:val="bullet"/>
      <w:lvlText w:val="•"/>
      <w:lvlJc w:val="left"/>
      <w:pPr>
        <w:tabs>
          <w:tab w:val="num" w:pos="720"/>
        </w:tabs>
        <w:ind w:left="720" w:hanging="360"/>
      </w:pPr>
      <w:rPr>
        <w:rFonts w:ascii="Arial" w:hAnsi="Arial" w:cs="Times New Roman" w:hint="default"/>
      </w:rPr>
    </w:lvl>
    <w:lvl w:ilvl="1" w:tplc="1AE2CD34">
      <w:start w:val="1"/>
      <w:numFmt w:val="decimal"/>
      <w:lvlText w:val="%2."/>
      <w:lvlJc w:val="left"/>
      <w:pPr>
        <w:tabs>
          <w:tab w:val="num" w:pos="1440"/>
        </w:tabs>
        <w:ind w:left="1440" w:hanging="360"/>
      </w:pPr>
    </w:lvl>
    <w:lvl w:ilvl="2" w:tplc="B81216A2">
      <w:start w:val="1"/>
      <w:numFmt w:val="decimal"/>
      <w:lvlText w:val="%3."/>
      <w:lvlJc w:val="left"/>
      <w:pPr>
        <w:tabs>
          <w:tab w:val="num" w:pos="2160"/>
        </w:tabs>
        <w:ind w:left="2160" w:hanging="360"/>
      </w:pPr>
    </w:lvl>
    <w:lvl w:ilvl="3" w:tplc="918E56B8">
      <w:start w:val="1"/>
      <w:numFmt w:val="decimal"/>
      <w:lvlText w:val="%4."/>
      <w:lvlJc w:val="left"/>
      <w:pPr>
        <w:tabs>
          <w:tab w:val="num" w:pos="2880"/>
        </w:tabs>
        <w:ind w:left="2880" w:hanging="360"/>
      </w:pPr>
    </w:lvl>
    <w:lvl w:ilvl="4" w:tplc="28EC39AC">
      <w:start w:val="1"/>
      <w:numFmt w:val="decimal"/>
      <w:lvlText w:val="%5."/>
      <w:lvlJc w:val="left"/>
      <w:pPr>
        <w:tabs>
          <w:tab w:val="num" w:pos="3600"/>
        </w:tabs>
        <w:ind w:left="3600" w:hanging="360"/>
      </w:pPr>
    </w:lvl>
    <w:lvl w:ilvl="5" w:tplc="D51ADB7E">
      <w:start w:val="1"/>
      <w:numFmt w:val="decimal"/>
      <w:lvlText w:val="%6."/>
      <w:lvlJc w:val="left"/>
      <w:pPr>
        <w:tabs>
          <w:tab w:val="num" w:pos="4320"/>
        </w:tabs>
        <w:ind w:left="4320" w:hanging="360"/>
      </w:pPr>
    </w:lvl>
    <w:lvl w:ilvl="6" w:tplc="2B62A064">
      <w:start w:val="1"/>
      <w:numFmt w:val="decimal"/>
      <w:lvlText w:val="%7."/>
      <w:lvlJc w:val="left"/>
      <w:pPr>
        <w:tabs>
          <w:tab w:val="num" w:pos="5040"/>
        </w:tabs>
        <w:ind w:left="5040" w:hanging="360"/>
      </w:pPr>
    </w:lvl>
    <w:lvl w:ilvl="7" w:tplc="8C9CB606">
      <w:start w:val="1"/>
      <w:numFmt w:val="decimal"/>
      <w:lvlText w:val="%8."/>
      <w:lvlJc w:val="left"/>
      <w:pPr>
        <w:tabs>
          <w:tab w:val="num" w:pos="5760"/>
        </w:tabs>
        <w:ind w:left="5760" w:hanging="360"/>
      </w:pPr>
    </w:lvl>
    <w:lvl w:ilvl="8" w:tplc="72E2DBEE">
      <w:start w:val="1"/>
      <w:numFmt w:val="decimal"/>
      <w:lvlText w:val="%9."/>
      <w:lvlJc w:val="left"/>
      <w:pPr>
        <w:tabs>
          <w:tab w:val="num" w:pos="6480"/>
        </w:tabs>
        <w:ind w:left="6480" w:hanging="360"/>
      </w:pPr>
    </w:lvl>
  </w:abstractNum>
  <w:abstractNum w:abstractNumId="3">
    <w:nsid w:val="52BB11F6"/>
    <w:multiLevelType w:val="multilevel"/>
    <w:tmpl w:val="8E1EA0C4"/>
    <w:lvl w:ilvl="0">
      <w:start w:val="1"/>
      <w:numFmt w:val="bullet"/>
      <w:lvlText w:val=""/>
      <w:lvlJc w:val="left"/>
      <w:pPr>
        <w:tabs>
          <w:tab w:val="num" w:pos="810"/>
        </w:tabs>
        <w:ind w:left="810" w:hanging="360"/>
      </w:pPr>
      <w:rPr>
        <w:rFonts w:ascii="Wingdings" w:hAnsi="Wingdings" w:hint="default"/>
        <w:sz w:val="20"/>
      </w:r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4">
    <w:nsid w:val="718B2481"/>
    <w:multiLevelType w:val="hybridMultilevel"/>
    <w:tmpl w:val="12D48DE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81"/>
    <w:rsid w:val="00024B5F"/>
    <w:rsid w:val="000E26BF"/>
    <w:rsid w:val="000E3EEF"/>
    <w:rsid w:val="00115214"/>
    <w:rsid w:val="001620E7"/>
    <w:rsid w:val="001B4261"/>
    <w:rsid w:val="001D38E3"/>
    <w:rsid w:val="003373FC"/>
    <w:rsid w:val="003F2147"/>
    <w:rsid w:val="004147E7"/>
    <w:rsid w:val="00453884"/>
    <w:rsid w:val="004716F6"/>
    <w:rsid w:val="005159F4"/>
    <w:rsid w:val="005576AE"/>
    <w:rsid w:val="0057665B"/>
    <w:rsid w:val="00596E24"/>
    <w:rsid w:val="005D40C1"/>
    <w:rsid w:val="005E184F"/>
    <w:rsid w:val="0064125A"/>
    <w:rsid w:val="00704F54"/>
    <w:rsid w:val="007159DF"/>
    <w:rsid w:val="00715E34"/>
    <w:rsid w:val="007827F7"/>
    <w:rsid w:val="007870AC"/>
    <w:rsid w:val="007C1738"/>
    <w:rsid w:val="00826B47"/>
    <w:rsid w:val="0086001F"/>
    <w:rsid w:val="008A6407"/>
    <w:rsid w:val="00947BCF"/>
    <w:rsid w:val="00992B46"/>
    <w:rsid w:val="00AB716F"/>
    <w:rsid w:val="00BA2E4B"/>
    <w:rsid w:val="00BD67C5"/>
    <w:rsid w:val="00BE754B"/>
    <w:rsid w:val="00CA2DA2"/>
    <w:rsid w:val="00CA700E"/>
    <w:rsid w:val="00CD375F"/>
    <w:rsid w:val="00CF6123"/>
    <w:rsid w:val="00D11284"/>
    <w:rsid w:val="00D23948"/>
    <w:rsid w:val="00D41BE7"/>
    <w:rsid w:val="00D77518"/>
    <w:rsid w:val="00D941FD"/>
    <w:rsid w:val="00DA5B63"/>
    <w:rsid w:val="00DF183E"/>
    <w:rsid w:val="00EB67AE"/>
    <w:rsid w:val="00F53039"/>
    <w:rsid w:val="00F92681"/>
    <w:rsid w:val="00FC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681"/>
    <w:pPr>
      <w:spacing w:before="100" w:beforeAutospacing="1" w:after="100" w:afterAutospacing="1"/>
    </w:pPr>
  </w:style>
  <w:style w:type="character" w:styleId="Hyperlink">
    <w:name w:val="Hyperlink"/>
    <w:basedOn w:val="DefaultParagraphFont"/>
    <w:uiPriority w:val="99"/>
    <w:unhideWhenUsed/>
    <w:rsid w:val="00F92681"/>
    <w:rPr>
      <w:color w:val="0000FF"/>
      <w:u w:val="single"/>
    </w:rPr>
  </w:style>
  <w:style w:type="character" w:styleId="Strong">
    <w:name w:val="Strong"/>
    <w:basedOn w:val="DefaultParagraphFont"/>
    <w:uiPriority w:val="22"/>
    <w:qFormat/>
    <w:rsid w:val="00F92681"/>
    <w:rPr>
      <w:b/>
      <w:bCs/>
    </w:rPr>
  </w:style>
  <w:style w:type="paragraph" w:styleId="ListParagraph">
    <w:name w:val="List Paragraph"/>
    <w:basedOn w:val="Normal"/>
    <w:uiPriority w:val="34"/>
    <w:qFormat/>
    <w:rsid w:val="00D23948"/>
    <w:pPr>
      <w:ind w:left="720"/>
      <w:contextualSpacing/>
    </w:pPr>
  </w:style>
  <w:style w:type="paragraph" w:customStyle="1" w:styleId="Default">
    <w:name w:val="Default"/>
    <w:rsid w:val="0064125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1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73FC"/>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681"/>
    <w:pPr>
      <w:spacing w:before="100" w:beforeAutospacing="1" w:after="100" w:afterAutospacing="1"/>
    </w:pPr>
  </w:style>
  <w:style w:type="character" w:styleId="Hyperlink">
    <w:name w:val="Hyperlink"/>
    <w:basedOn w:val="DefaultParagraphFont"/>
    <w:uiPriority w:val="99"/>
    <w:unhideWhenUsed/>
    <w:rsid w:val="00F92681"/>
    <w:rPr>
      <w:color w:val="0000FF"/>
      <w:u w:val="single"/>
    </w:rPr>
  </w:style>
  <w:style w:type="character" w:styleId="Strong">
    <w:name w:val="Strong"/>
    <w:basedOn w:val="DefaultParagraphFont"/>
    <w:uiPriority w:val="22"/>
    <w:qFormat/>
    <w:rsid w:val="00F92681"/>
    <w:rPr>
      <w:b/>
      <w:bCs/>
    </w:rPr>
  </w:style>
  <w:style w:type="paragraph" w:styleId="ListParagraph">
    <w:name w:val="List Paragraph"/>
    <w:basedOn w:val="Normal"/>
    <w:uiPriority w:val="34"/>
    <w:qFormat/>
    <w:rsid w:val="00D23948"/>
    <w:pPr>
      <w:ind w:left="720"/>
      <w:contextualSpacing/>
    </w:pPr>
  </w:style>
  <w:style w:type="paragraph" w:customStyle="1" w:styleId="Default">
    <w:name w:val="Default"/>
    <w:rsid w:val="0064125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1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73F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964">
      <w:bodyDiv w:val="1"/>
      <w:marLeft w:val="0"/>
      <w:marRight w:val="0"/>
      <w:marTop w:val="0"/>
      <w:marBottom w:val="0"/>
      <w:divBdr>
        <w:top w:val="none" w:sz="0" w:space="0" w:color="auto"/>
        <w:left w:val="none" w:sz="0" w:space="0" w:color="auto"/>
        <w:bottom w:val="none" w:sz="0" w:space="0" w:color="auto"/>
        <w:right w:val="none" w:sz="0" w:space="0" w:color="auto"/>
      </w:divBdr>
    </w:div>
    <w:div w:id="143474156">
      <w:bodyDiv w:val="1"/>
      <w:marLeft w:val="0"/>
      <w:marRight w:val="0"/>
      <w:marTop w:val="0"/>
      <w:marBottom w:val="0"/>
      <w:divBdr>
        <w:top w:val="none" w:sz="0" w:space="0" w:color="auto"/>
        <w:left w:val="none" w:sz="0" w:space="0" w:color="auto"/>
        <w:bottom w:val="none" w:sz="0" w:space="0" w:color="auto"/>
        <w:right w:val="none" w:sz="0" w:space="0" w:color="auto"/>
      </w:divBdr>
    </w:div>
    <w:div w:id="437221969">
      <w:bodyDiv w:val="1"/>
      <w:marLeft w:val="0"/>
      <w:marRight w:val="0"/>
      <w:marTop w:val="0"/>
      <w:marBottom w:val="0"/>
      <w:divBdr>
        <w:top w:val="none" w:sz="0" w:space="0" w:color="auto"/>
        <w:left w:val="none" w:sz="0" w:space="0" w:color="auto"/>
        <w:bottom w:val="none" w:sz="0" w:space="0" w:color="auto"/>
        <w:right w:val="none" w:sz="0" w:space="0" w:color="auto"/>
      </w:divBdr>
    </w:div>
    <w:div w:id="730343950">
      <w:bodyDiv w:val="1"/>
      <w:marLeft w:val="0"/>
      <w:marRight w:val="0"/>
      <w:marTop w:val="0"/>
      <w:marBottom w:val="0"/>
      <w:divBdr>
        <w:top w:val="none" w:sz="0" w:space="0" w:color="auto"/>
        <w:left w:val="none" w:sz="0" w:space="0" w:color="auto"/>
        <w:bottom w:val="none" w:sz="0" w:space="0" w:color="auto"/>
        <w:right w:val="none" w:sz="0" w:space="0" w:color="auto"/>
      </w:divBdr>
    </w:div>
    <w:div w:id="773093697">
      <w:bodyDiv w:val="1"/>
      <w:marLeft w:val="0"/>
      <w:marRight w:val="0"/>
      <w:marTop w:val="0"/>
      <w:marBottom w:val="0"/>
      <w:divBdr>
        <w:top w:val="none" w:sz="0" w:space="0" w:color="auto"/>
        <w:left w:val="none" w:sz="0" w:space="0" w:color="auto"/>
        <w:bottom w:val="none" w:sz="0" w:space="0" w:color="auto"/>
        <w:right w:val="none" w:sz="0" w:space="0" w:color="auto"/>
      </w:divBdr>
    </w:div>
    <w:div w:id="833109536">
      <w:bodyDiv w:val="1"/>
      <w:marLeft w:val="0"/>
      <w:marRight w:val="0"/>
      <w:marTop w:val="0"/>
      <w:marBottom w:val="0"/>
      <w:divBdr>
        <w:top w:val="none" w:sz="0" w:space="0" w:color="auto"/>
        <w:left w:val="none" w:sz="0" w:space="0" w:color="auto"/>
        <w:bottom w:val="none" w:sz="0" w:space="0" w:color="auto"/>
        <w:right w:val="none" w:sz="0" w:space="0" w:color="auto"/>
      </w:divBdr>
    </w:div>
    <w:div w:id="1296637300">
      <w:bodyDiv w:val="1"/>
      <w:marLeft w:val="0"/>
      <w:marRight w:val="0"/>
      <w:marTop w:val="0"/>
      <w:marBottom w:val="0"/>
      <w:divBdr>
        <w:top w:val="none" w:sz="0" w:space="0" w:color="auto"/>
        <w:left w:val="none" w:sz="0" w:space="0" w:color="auto"/>
        <w:bottom w:val="none" w:sz="0" w:space="0" w:color="auto"/>
        <w:right w:val="none" w:sz="0" w:space="0" w:color="auto"/>
      </w:divBdr>
    </w:div>
    <w:div w:id="19011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counselin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Bruder-Moore</dc:creator>
  <cp:lastModifiedBy>Ellen Bruder-Moore</cp:lastModifiedBy>
  <cp:revision>4</cp:revision>
  <cp:lastPrinted>2014-01-22T20:56:00Z</cp:lastPrinted>
  <dcterms:created xsi:type="dcterms:W3CDTF">2017-09-12T16:38:00Z</dcterms:created>
  <dcterms:modified xsi:type="dcterms:W3CDTF">2017-09-18T17:01:00Z</dcterms:modified>
</cp:coreProperties>
</file>